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F64" w:rsidRPr="006A5F64" w:rsidRDefault="006A5F64" w:rsidP="006A5F64">
      <w:pPr>
        <w:widowControl/>
        <w:spacing w:line="480" w:lineRule="atLeast"/>
        <w:jc w:val="center"/>
        <w:rPr>
          <w:rFonts w:ascii="Times New Roman" w:eastAsia="宋体" w:hAnsi="Times New Roman" w:cs="Times New Roman"/>
          <w:color w:val="333333"/>
          <w:kern w:val="0"/>
          <w:szCs w:val="21"/>
        </w:rPr>
      </w:pPr>
      <w:r w:rsidRPr="006A5F64">
        <w:rPr>
          <w:rFonts w:ascii="Arial" w:eastAsia="宋体" w:hAnsi="Arial" w:cs="Arial"/>
          <w:color w:val="333333"/>
          <w:kern w:val="0"/>
          <w:sz w:val="44"/>
          <w:szCs w:val="44"/>
        </w:rPr>
        <w:t>201</w:t>
      </w:r>
      <w:r w:rsidRPr="006A5F64">
        <w:rPr>
          <w:rFonts w:ascii="方正小标宋简体" w:eastAsia="方正小标宋简体" w:hAnsi="Times New Roman" w:cs="Times New Roman" w:hint="eastAsia"/>
          <w:color w:val="333333"/>
          <w:kern w:val="0"/>
          <w:sz w:val="44"/>
          <w:szCs w:val="44"/>
        </w:rPr>
        <w:t>7</w:t>
      </w:r>
      <w:r w:rsidRPr="006A5F64">
        <w:rPr>
          <w:rFonts w:ascii="方正小标宋简体" w:eastAsia="方正小标宋简体" w:hAnsi="Arial" w:cs="Arial"/>
          <w:color w:val="333333"/>
          <w:kern w:val="0"/>
          <w:sz w:val="44"/>
          <w:szCs w:val="44"/>
        </w:rPr>
        <w:t>年度</w:t>
      </w:r>
    </w:p>
    <w:p w:rsidR="006A5F64" w:rsidRPr="006A5F64" w:rsidRDefault="006A5F64" w:rsidP="006A5F64">
      <w:pPr>
        <w:widowControl/>
        <w:spacing w:line="480" w:lineRule="atLeast"/>
        <w:jc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方正小标宋简体" w:eastAsia="方正小标宋简体" w:hAnsi="Times New Roman" w:cs="Times New Roman" w:hint="eastAsia"/>
          <w:color w:val="333333"/>
          <w:kern w:val="0"/>
          <w:sz w:val="44"/>
          <w:szCs w:val="44"/>
        </w:rPr>
        <w:t>农安县畜牧业管理局</w:t>
      </w:r>
      <w:r w:rsidRPr="006A5F64">
        <w:rPr>
          <w:rFonts w:ascii="方正小标宋简体" w:eastAsia="方正小标宋简体" w:hAnsi="Arial" w:cs="Arial"/>
          <w:color w:val="333333"/>
          <w:kern w:val="0"/>
          <w:sz w:val="44"/>
          <w:szCs w:val="44"/>
        </w:rPr>
        <w:t>部门决算</w:t>
      </w:r>
    </w:p>
    <w:p w:rsidR="006A5F64" w:rsidRPr="006A5F64" w:rsidRDefault="006A5F64" w:rsidP="006A5F64">
      <w:pPr>
        <w:widowControl/>
        <w:spacing w:line="480" w:lineRule="atLeast"/>
        <w:jc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44"/>
          <w:szCs w:val="44"/>
        </w:rPr>
        <w:t>201</w:t>
      </w:r>
      <w:r w:rsidRPr="006A5F64">
        <w:rPr>
          <w:rFonts w:ascii="方正小标宋简体" w:eastAsia="方正小标宋简体" w:hAnsi="Times New Roman" w:cs="Times New Roman" w:hint="eastAsia"/>
          <w:color w:val="333333"/>
          <w:kern w:val="0"/>
          <w:sz w:val="44"/>
          <w:szCs w:val="44"/>
        </w:rPr>
        <w:t>8</w:t>
      </w:r>
      <w:r w:rsidRPr="006A5F64">
        <w:rPr>
          <w:rFonts w:ascii="方正小标宋简体" w:eastAsia="方正小标宋简体" w:hAnsi="Arial" w:cs="Arial"/>
          <w:color w:val="333333"/>
          <w:kern w:val="0"/>
          <w:sz w:val="44"/>
          <w:szCs w:val="44"/>
        </w:rPr>
        <w:t>年</w:t>
      </w:r>
      <w:r w:rsidRPr="006A5F64">
        <w:rPr>
          <w:rFonts w:ascii="Arial" w:eastAsia="宋体" w:hAnsi="Arial" w:cs="Arial"/>
          <w:color w:val="333333"/>
          <w:kern w:val="0"/>
          <w:sz w:val="44"/>
          <w:szCs w:val="44"/>
        </w:rPr>
        <w:t> </w:t>
      </w:r>
      <w:r w:rsidRPr="006A5F64">
        <w:rPr>
          <w:rFonts w:ascii="方正小标宋简体" w:eastAsia="方正小标宋简体" w:hAnsi="Times New Roman" w:cs="Times New Roman" w:hint="eastAsia"/>
          <w:color w:val="333333"/>
          <w:kern w:val="0"/>
          <w:sz w:val="44"/>
          <w:szCs w:val="44"/>
        </w:rPr>
        <w:t>10</w:t>
      </w:r>
      <w:r w:rsidRPr="006A5F64">
        <w:rPr>
          <w:rFonts w:ascii="方正小标宋简体" w:eastAsia="方正小标宋简体" w:hAnsi="Times New Roman" w:cs="Times New Roman" w:hint="eastAsia"/>
          <w:color w:val="333333"/>
          <w:kern w:val="0"/>
          <w:sz w:val="44"/>
          <w:szCs w:val="44"/>
        </w:rPr>
        <w:t> </w:t>
      </w:r>
      <w:r w:rsidRPr="006A5F64">
        <w:rPr>
          <w:rFonts w:ascii="方正小标宋简体" w:eastAsia="方正小标宋简体" w:hAnsi="Arial" w:cs="Arial"/>
          <w:color w:val="333333"/>
          <w:kern w:val="0"/>
          <w:sz w:val="44"/>
          <w:szCs w:val="44"/>
        </w:rPr>
        <w:t>月</w:t>
      </w:r>
      <w:r w:rsidRPr="006A5F64">
        <w:rPr>
          <w:rFonts w:ascii="Arial" w:eastAsia="宋体" w:hAnsi="Arial" w:cs="Arial"/>
          <w:color w:val="333333"/>
          <w:kern w:val="0"/>
          <w:sz w:val="44"/>
          <w:szCs w:val="44"/>
        </w:rPr>
        <w:t> </w:t>
      </w:r>
      <w:r w:rsidRPr="006A5F64">
        <w:rPr>
          <w:rFonts w:ascii="方正小标宋简体" w:eastAsia="方正小标宋简体" w:hAnsi="Times New Roman" w:cs="Times New Roman" w:hint="eastAsia"/>
          <w:color w:val="333333"/>
          <w:kern w:val="0"/>
          <w:sz w:val="44"/>
          <w:szCs w:val="44"/>
        </w:rPr>
        <w:t>24</w:t>
      </w:r>
      <w:r w:rsidRPr="006A5F64">
        <w:rPr>
          <w:rFonts w:ascii="Arial" w:eastAsia="宋体" w:hAnsi="Arial" w:cs="Arial"/>
          <w:color w:val="333333"/>
          <w:kern w:val="0"/>
          <w:sz w:val="44"/>
          <w:szCs w:val="44"/>
        </w:rPr>
        <w:t> </w:t>
      </w:r>
      <w:r w:rsidRPr="006A5F64">
        <w:rPr>
          <w:rFonts w:ascii="方正小标宋简体" w:eastAsia="方正小标宋简体" w:hAnsi="Arial" w:cs="Arial"/>
          <w:color w:val="333333"/>
          <w:kern w:val="0"/>
          <w:sz w:val="44"/>
          <w:szCs w:val="44"/>
        </w:rPr>
        <w:t>日</w:t>
      </w:r>
    </w:p>
    <w:p w:rsidR="006A5F64" w:rsidRPr="006A5F64" w:rsidRDefault="006A5F64" w:rsidP="006A5F64">
      <w:pPr>
        <w:widowControl/>
        <w:spacing w:line="480" w:lineRule="atLeast"/>
        <w:jc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方正小标宋简体" w:eastAsia="方正小标宋简体" w:hAnsi="Times New Roman" w:cs="Times New Roman" w:hint="eastAsia"/>
          <w:color w:val="333333"/>
          <w:kern w:val="0"/>
          <w:sz w:val="44"/>
          <w:szCs w:val="44"/>
        </w:rPr>
        <w:t>目</w:t>
      </w:r>
      <w:r w:rsidRPr="006A5F64">
        <w:rPr>
          <w:rFonts w:ascii="方正小标宋简体" w:eastAsia="方正小标宋简体" w:hAnsi="Times New Roman" w:cs="Times New Roman" w:hint="eastAsia"/>
          <w:color w:val="333333"/>
          <w:kern w:val="0"/>
          <w:sz w:val="44"/>
          <w:szCs w:val="44"/>
        </w:rPr>
        <w:t>   </w:t>
      </w:r>
      <w:r w:rsidRPr="006A5F64">
        <w:rPr>
          <w:rFonts w:ascii="方正小标宋简体" w:eastAsia="方正小标宋简体" w:hAnsi="Times New Roman" w:cs="Times New Roman" w:hint="eastAsia"/>
          <w:color w:val="333333"/>
          <w:kern w:val="0"/>
          <w:sz w:val="44"/>
          <w:szCs w:val="44"/>
        </w:rPr>
        <w:t>录</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黑体" w:eastAsia="黑体" w:hAnsi="黑体" w:cs="Times New Roman" w:hint="eastAsia"/>
          <w:color w:val="333333"/>
          <w:kern w:val="0"/>
          <w:sz w:val="32"/>
          <w:szCs w:val="32"/>
        </w:rPr>
        <w:t>第一部分</w:t>
      </w:r>
      <w:r w:rsidRPr="006A5F64">
        <w:rPr>
          <w:rFonts w:ascii="宋体" w:eastAsia="宋体" w:hAnsi="宋体" w:cs="宋体" w:hint="eastAsia"/>
          <w:color w:val="333333"/>
          <w:kern w:val="0"/>
          <w:sz w:val="32"/>
          <w:szCs w:val="32"/>
        </w:rPr>
        <w:t>  </w:t>
      </w:r>
      <w:r w:rsidRPr="006A5F64">
        <w:rPr>
          <w:rFonts w:ascii="黑体" w:eastAsia="黑体" w:hAnsi="黑体" w:cs="Times New Roman" w:hint="eastAsia"/>
          <w:color w:val="333333"/>
          <w:kern w:val="0"/>
          <w:sz w:val="32"/>
          <w:szCs w:val="32"/>
        </w:rPr>
        <w:t>部门概况</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一、部门职责</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二、机构设置及部门决算单位构成</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黑体" w:eastAsia="黑体" w:hAnsi="黑体" w:cs="Times New Roman" w:hint="eastAsia"/>
          <w:color w:val="333333"/>
          <w:kern w:val="0"/>
          <w:sz w:val="32"/>
          <w:szCs w:val="32"/>
        </w:rPr>
        <w:t>第二部分</w:t>
      </w:r>
      <w:r w:rsidRPr="006A5F64">
        <w:rPr>
          <w:rFonts w:ascii="宋体" w:eastAsia="宋体" w:hAnsi="宋体" w:cs="宋体" w:hint="eastAsia"/>
          <w:color w:val="333333"/>
          <w:kern w:val="0"/>
          <w:sz w:val="32"/>
          <w:szCs w:val="32"/>
        </w:rPr>
        <w:t> </w:t>
      </w:r>
      <w:r w:rsidRPr="006A5F64">
        <w:rPr>
          <w:rFonts w:ascii="黑体" w:eastAsia="黑体" w:hAnsi="黑体" w:cs="黑体" w:hint="eastAsia"/>
          <w:color w:val="333333"/>
          <w:kern w:val="0"/>
          <w:sz w:val="32"/>
          <w:szCs w:val="32"/>
        </w:rPr>
        <w:t>2017</w:t>
      </w:r>
      <w:r w:rsidRPr="006A5F64">
        <w:rPr>
          <w:rFonts w:ascii="黑体" w:eastAsia="黑体" w:hAnsi="黑体" w:cs="Times New Roman" w:hint="eastAsia"/>
          <w:color w:val="333333"/>
          <w:kern w:val="0"/>
          <w:sz w:val="32"/>
          <w:szCs w:val="32"/>
        </w:rPr>
        <w:t>年度部门决算表</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一、收入支出决算总表</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二、收入决算表</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三、支出决算表</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四、财政拨款收入支出决算总表</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五、一般公共预算财政拨款支出决算表</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六、一般公共预算财政拨款基本支出决算表</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七、一般公共预算财政拨款“三公”经费支出决算表</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八、政府性基金预算财政拨款收入支出决算表</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黑体" w:eastAsia="黑体" w:hAnsi="黑体" w:cs="Times New Roman" w:hint="eastAsia"/>
          <w:color w:val="333333"/>
          <w:kern w:val="0"/>
          <w:sz w:val="32"/>
          <w:szCs w:val="32"/>
        </w:rPr>
        <w:t>第三部分</w:t>
      </w:r>
      <w:r w:rsidRPr="006A5F64">
        <w:rPr>
          <w:rFonts w:ascii="宋体" w:eastAsia="宋体" w:hAnsi="宋体" w:cs="宋体" w:hint="eastAsia"/>
          <w:color w:val="333333"/>
          <w:kern w:val="0"/>
          <w:sz w:val="32"/>
          <w:szCs w:val="32"/>
        </w:rPr>
        <w:t>  </w:t>
      </w:r>
      <w:r w:rsidRPr="006A5F64">
        <w:rPr>
          <w:rFonts w:ascii="黑体" w:eastAsia="黑体" w:hAnsi="黑体" w:cs="黑体" w:hint="eastAsia"/>
          <w:color w:val="333333"/>
          <w:kern w:val="0"/>
          <w:sz w:val="32"/>
          <w:szCs w:val="32"/>
        </w:rPr>
        <w:t>2017</w:t>
      </w:r>
      <w:r w:rsidRPr="006A5F64">
        <w:rPr>
          <w:rFonts w:ascii="黑体" w:eastAsia="黑体" w:hAnsi="黑体" w:cs="Times New Roman" w:hint="eastAsia"/>
          <w:color w:val="333333"/>
          <w:kern w:val="0"/>
          <w:sz w:val="32"/>
          <w:szCs w:val="32"/>
        </w:rPr>
        <w:t>年度部门决算情况说明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一、收入支出决算总体情况说明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二、收入决算情况说明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三、支出决算情况说明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四、财政拨款收入支出决算总体情况说明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五、一般公共预算财政拨款支出决算情况说明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仿宋" w:eastAsia="仿宋" w:hAnsi="仿宋" w:cs="Times New Roman" w:hint="eastAsia"/>
          <w:color w:val="333333"/>
          <w:kern w:val="0"/>
          <w:sz w:val="32"/>
          <w:szCs w:val="32"/>
        </w:rPr>
        <w:t>六、一般公共预算财政拨款基本支出决算情况说明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七、一般公共预算财政拨款“三公”经费支出决算情况说明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八、政府性基金预算财政拨款收入支出决算情况说明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九、预算绩效管理情况说明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十、其他重要事项情况说明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黑体" w:eastAsia="黑体" w:hAnsi="黑体" w:cs="Times New Roman" w:hint="eastAsia"/>
          <w:color w:val="333333"/>
          <w:kern w:val="0"/>
          <w:sz w:val="32"/>
          <w:szCs w:val="32"/>
        </w:rPr>
        <w:t>第四部分</w:t>
      </w:r>
      <w:r w:rsidRPr="006A5F64">
        <w:rPr>
          <w:rFonts w:ascii="宋体" w:eastAsia="宋体" w:hAnsi="宋体" w:cs="宋体" w:hint="eastAsia"/>
          <w:color w:val="333333"/>
          <w:kern w:val="0"/>
          <w:sz w:val="32"/>
          <w:szCs w:val="32"/>
        </w:rPr>
        <w:t>  </w:t>
      </w:r>
      <w:r w:rsidRPr="006A5F64">
        <w:rPr>
          <w:rFonts w:ascii="黑体" w:eastAsia="黑体" w:hAnsi="黑体" w:cs="Times New Roman" w:hint="eastAsia"/>
          <w:color w:val="333333"/>
          <w:kern w:val="0"/>
          <w:sz w:val="32"/>
          <w:szCs w:val="32"/>
        </w:rPr>
        <w:t>名词解释</w:t>
      </w:r>
    </w:p>
    <w:p w:rsidR="006A5F64" w:rsidRPr="006A5F64" w:rsidRDefault="006A5F64" w:rsidP="006A5F64">
      <w:pPr>
        <w:widowControl/>
        <w:spacing w:line="480" w:lineRule="atLeast"/>
        <w:jc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方正小标宋简体" w:eastAsia="方正小标宋简体" w:hAnsi="Times New Roman" w:cs="Times New Roman" w:hint="eastAsia"/>
          <w:color w:val="333333"/>
          <w:kern w:val="0"/>
          <w:sz w:val="44"/>
          <w:szCs w:val="44"/>
        </w:rPr>
        <w:t>第一部分</w:t>
      </w:r>
      <w:r w:rsidRPr="006A5F64">
        <w:rPr>
          <w:rFonts w:ascii="方正小标宋简体" w:eastAsia="方正小标宋简体" w:hAnsi="Times New Roman" w:cs="Times New Roman" w:hint="eastAsia"/>
          <w:color w:val="333333"/>
          <w:kern w:val="0"/>
          <w:sz w:val="44"/>
          <w:szCs w:val="44"/>
        </w:rPr>
        <w:t>  </w:t>
      </w:r>
      <w:r w:rsidRPr="006A5F64">
        <w:rPr>
          <w:rFonts w:ascii="方正小标宋简体" w:eastAsia="方正小标宋简体" w:hAnsi="Times New Roman" w:cs="Times New Roman" w:hint="eastAsia"/>
          <w:color w:val="333333"/>
          <w:kern w:val="0"/>
          <w:sz w:val="44"/>
          <w:szCs w:val="44"/>
        </w:rPr>
        <w:t>部门概况</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黑体" w:eastAsia="黑体" w:hAnsi="黑体" w:cs="Times New Roman" w:hint="eastAsia"/>
          <w:color w:val="333333"/>
          <w:kern w:val="0"/>
          <w:sz w:val="32"/>
          <w:szCs w:val="32"/>
        </w:rPr>
        <w:t>一、部门职责</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Times New Roman" w:hint="eastAsia"/>
          <w:color w:val="333333"/>
          <w:kern w:val="0"/>
          <w:sz w:val="32"/>
          <w:szCs w:val="32"/>
        </w:rPr>
        <w:t>（一）</w:t>
      </w:r>
      <w:r w:rsidRPr="006A5F64">
        <w:rPr>
          <w:rFonts w:ascii="宋体" w:eastAsia="宋体" w:hAnsi="宋体" w:cs="宋体" w:hint="eastAsia"/>
          <w:color w:val="333333"/>
          <w:kern w:val="0"/>
          <w:sz w:val="32"/>
          <w:szCs w:val="32"/>
        </w:rPr>
        <w:t>   </w:t>
      </w:r>
      <w:r w:rsidRPr="006A5F64">
        <w:rPr>
          <w:rFonts w:ascii="仿宋" w:eastAsia="仿宋" w:hAnsi="仿宋" w:cs="Times New Roman" w:hint="eastAsia"/>
          <w:color w:val="333333"/>
          <w:kern w:val="0"/>
          <w:sz w:val="32"/>
          <w:szCs w:val="32"/>
        </w:rPr>
        <w:t>贯彻执行国家和省市关于畜牧业（畜牧、动物防疫、兽医、兽药、草原、饲料、畜产品质量安全、生鲜乳生产管理，下同）的方针政策和法律法规；组织起草全县畜牧业发展规划和计划并组织实施。</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（二）拟定全县畜牧业产品加工业发展战略、中长期规划和年度计划并组织实施；研究提出有利于畜牧产品加工业发展的政策措施。</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（三）指导全县畜牧业产业化管理及行业结构和布局调整，提出行业投资方案，承办行业基本建设、综合开发和财政资金等方面的项目审查工作。</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（四）负责组织畜禽品种、畜产资源、饲料资源的保护及合理开发利用。</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（五）承担畜产品质量安全管理工作职责。</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仿宋" w:eastAsia="仿宋" w:hAnsi="仿宋" w:cs="Times New Roman" w:hint="eastAsia"/>
          <w:color w:val="333333"/>
          <w:kern w:val="0"/>
          <w:sz w:val="32"/>
          <w:szCs w:val="32"/>
        </w:rPr>
        <w:t>（六）负责全县动物防疫、动物及产品检疫、兽医医政、兽药药政、兽药质量监督和药检工作；制定动物疫病防治规划，组织实施动物防疫工作，发布疫情并组织扑灭疫情。</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（七）负责全县草原（草地）资源保护、合理开发利用和生态建设工作；负责草原草场改良、退耕还牧、种草引种等组织工作；组织实施草原监管；组织协调、指导监督全县草原防火工作。</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八）贯彻执行国家发展饲料工业的方针、政策、法规；编制全县饲料工业中长期发展计划及资源开发利用；负责饲料项目建设前期立项、可行性研究申报工作；协同有关部门组织全县饲料生产、经营企业产品检查。</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（九）负责全县动物检疫、兽医、兽药方面的执法监督及从业许可证的发放；负责执法人员的管理及证件的审核、审批和发放工作。</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（十）负责局机关及所属单位人事、机构编制管理、党务、精神文明、行风建设、工会、共青团、妇联、计生、纪检监察、安全保卫、社会治安综合治理等工作；监督和管理所属单位的国有资产。</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（十一）承办县政府交办的其他事项。</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黑体" w:eastAsia="黑体" w:hAnsi="黑体" w:cs="Times New Roman" w:hint="eastAsia"/>
          <w:color w:val="333333"/>
          <w:kern w:val="0"/>
          <w:sz w:val="32"/>
          <w:szCs w:val="32"/>
        </w:rPr>
        <w:t>二、机构设置及部门决算单位构成</w:t>
      </w:r>
    </w:p>
    <w:p w:rsidR="006A5F64" w:rsidRPr="006A5F64" w:rsidRDefault="006A5F64" w:rsidP="006A5F64">
      <w:pPr>
        <w:widowControl/>
        <w:spacing w:line="360" w:lineRule="atLeast"/>
        <w:ind w:left="640"/>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仿宋" w:eastAsia="仿宋" w:hAnsi="仿宋" w:cs="Times New Roman" w:hint="eastAsia"/>
          <w:color w:val="333333"/>
          <w:kern w:val="0"/>
          <w:sz w:val="32"/>
          <w:szCs w:val="32"/>
        </w:rPr>
        <w:t>根据上述职责，农安县畜牧业管理局内设三个机构，分别为办公室、业务科、党委办公室。</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纳入农安县畜牧业管理局2017年度部门决算编制范围的单位包括：1.农安县畜牧业管理局（本级）</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2.</w:t>
      </w:r>
      <w:r w:rsidRPr="006A5F64">
        <w:rPr>
          <w:rFonts w:ascii="仿宋" w:eastAsia="仿宋" w:hAnsi="仿宋" w:cs="Times New Roman" w:hint="eastAsia"/>
          <w:color w:val="333333"/>
          <w:kern w:val="0"/>
          <w:sz w:val="32"/>
          <w:szCs w:val="32"/>
        </w:rPr>
        <w:t>农安县草原管理站</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3.</w:t>
      </w:r>
      <w:r w:rsidRPr="006A5F64">
        <w:rPr>
          <w:rFonts w:ascii="仿宋" w:eastAsia="仿宋" w:hAnsi="仿宋" w:cs="Times New Roman" w:hint="eastAsia"/>
          <w:color w:val="333333"/>
          <w:kern w:val="0"/>
          <w:sz w:val="32"/>
          <w:szCs w:val="32"/>
        </w:rPr>
        <w:t>农安县动物卫生监督所</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4.</w:t>
      </w:r>
      <w:r w:rsidRPr="006A5F64">
        <w:rPr>
          <w:rFonts w:ascii="仿宋" w:eastAsia="仿宋" w:hAnsi="仿宋" w:cs="Times New Roman" w:hint="eastAsia"/>
          <w:color w:val="333333"/>
          <w:kern w:val="0"/>
          <w:sz w:val="32"/>
          <w:szCs w:val="32"/>
        </w:rPr>
        <w:t>农安县畜牧总站</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5.</w:t>
      </w:r>
      <w:r w:rsidRPr="006A5F64">
        <w:rPr>
          <w:rFonts w:ascii="仿宋" w:eastAsia="仿宋" w:hAnsi="仿宋" w:cs="Times New Roman" w:hint="eastAsia"/>
          <w:color w:val="333333"/>
          <w:kern w:val="0"/>
          <w:sz w:val="32"/>
          <w:szCs w:val="32"/>
        </w:rPr>
        <w:t>农安县动物疫病预防控制中心</w:t>
      </w:r>
    </w:p>
    <w:p w:rsidR="006A5F64" w:rsidRPr="006A5F64" w:rsidRDefault="006A5F64" w:rsidP="006A5F64">
      <w:pPr>
        <w:widowControl/>
        <w:spacing w:line="36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2017</w:t>
      </w:r>
      <w:r w:rsidRPr="006A5F64">
        <w:rPr>
          <w:rFonts w:ascii="仿宋" w:eastAsia="仿宋" w:hAnsi="仿宋" w:cs="Times New Roman" w:hint="eastAsia"/>
          <w:color w:val="333333"/>
          <w:kern w:val="0"/>
          <w:sz w:val="32"/>
          <w:szCs w:val="32"/>
        </w:rPr>
        <w:t xml:space="preserve">年实有人员 432人，其中：在职人员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262</w:t>
      </w:r>
      <w:r w:rsidRPr="006A5F64">
        <w:rPr>
          <w:rFonts w:ascii="仿宋" w:eastAsia="仿宋" w:hAnsi="仿宋" w:cs="Times New Roman" w:hint="eastAsia"/>
          <w:color w:val="333333"/>
          <w:kern w:val="0"/>
          <w:sz w:val="32"/>
          <w:szCs w:val="32"/>
        </w:rPr>
        <w:t>人，退休人员 170人。</w:t>
      </w:r>
    </w:p>
    <w:p w:rsidR="006A5F64" w:rsidRDefault="006A5F64" w:rsidP="006A5F64">
      <w:pPr>
        <w:widowControl/>
        <w:spacing w:line="480" w:lineRule="atLeast"/>
        <w:jc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Default="006A5F64" w:rsidP="006A5F64">
      <w:pPr>
        <w:widowControl/>
        <w:spacing w:line="480" w:lineRule="atLeast"/>
        <w:jc w:val="center"/>
        <w:rPr>
          <w:rFonts w:ascii="Times New Roman" w:eastAsia="宋体" w:hAnsi="Times New Roman" w:cs="Times New Roman"/>
          <w:color w:val="333333"/>
          <w:kern w:val="0"/>
          <w:szCs w:val="21"/>
        </w:rPr>
      </w:pPr>
    </w:p>
    <w:p w:rsidR="006A5F64" w:rsidRPr="006A5F64" w:rsidRDefault="006A5F64" w:rsidP="006A5F64">
      <w:pPr>
        <w:widowControl/>
        <w:spacing w:line="480" w:lineRule="atLeast"/>
        <w:jc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方正小标宋简体" w:eastAsia="方正小标宋简体" w:hAnsi="Times New Roman" w:cs="Times New Roman" w:hint="eastAsia"/>
          <w:color w:val="333333"/>
          <w:kern w:val="0"/>
          <w:sz w:val="44"/>
          <w:szCs w:val="44"/>
        </w:rPr>
        <w:t>第二部分</w:t>
      </w:r>
      <w:r w:rsidRPr="006A5F64">
        <w:rPr>
          <w:rFonts w:ascii="方正小标宋简体" w:eastAsia="方正小标宋简体" w:hAnsi="Times New Roman" w:cs="Times New Roman" w:hint="eastAsia"/>
          <w:color w:val="333333"/>
          <w:kern w:val="0"/>
          <w:sz w:val="44"/>
          <w:szCs w:val="44"/>
        </w:rPr>
        <w:t> </w:t>
      </w:r>
      <w:r w:rsidRPr="006A5F64">
        <w:rPr>
          <w:rFonts w:ascii="方正小标宋简体" w:eastAsia="方正小标宋简体" w:hAnsi="Times New Roman" w:cs="Times New Roman" w:hint="eastAsia"/>
          <w:color w:val="333333"/>
          <w:kern w:val="0"/>
          <w:sz w:val="44"/>
          <w:szCs w:val="44"/>
        </w:rPr>
        <w:t>2017年度部门决算表</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黑体" w:eastAsia="黑体" w:hAnsi="黑体" w:cs="Times New Roman" w:hint="eastAsia"/>
          <w:color w:val="333333"/>
          <w:kern w:val="0"/>
          <w:sz w:val="32"/>
          <w:szCs w:val="32"/>
        </w:rPr>
        <w:t>一、收入支出决算总表</w:t>
      </w:r>
    </w:p>
    <w:p w:rsidR="006A5F64" w:rsidRPr="006A5F64" w:rsidRDefault="006A5F64" w:rsidP="006A5F64">
      <w:pPr>
        <w:widowControl/>
        <w:spacing w:line="480" w:lineRule="atLeast"/>
        <w:jc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华文中宋" w:eastAsia="华文中宋" w:hAnsi="Times New Roman" w:cs="Times New Roman" w:hint="eastAsia"/>
          <w:color w:val="000000"/>
          <w:kern w:val="0"/>
          <w:sz w:val="32"/>
          <w:szCs w:val="32"/>
        </w:rPr>
        <w:t> </w:t>
      </w:r>
    </w:p>
    <w:p w:rsidR="006A5F64" w:rsidRPr="006A5F64" w:rsidRDefault="006A5F64" w:rsidP="006A5F64">
      <w:pPr>
        <w:widowControl/>
        <w:spacing w:before="375" w:after="375" w:line="480" w:lineRule="atLeast"/>
        <w:rPr>
          <w:rFonts w:ascii="宋体" w:eastAsia="宋体" w:hAnsi="宋体" w:cs="宋体"/>
          <w:color w:val="333333"/>
          <w:kern w:val="0"/>
          <w:szCs w:val="21"/>
        </w:rPr>
      </w:pPr>
      <w:r w:rsidRPr="006A5F64">
        <w:rPr>
          <w:rFonts w:ascii="宋体" w:eastAsia="宋体" w:hAnsi="宋体" w:cs="宋体"/>
          <w:color w:val="333333"/>
          <w:kern w:val="0"/>
          <w:szCs w:val="21"/>
        </w:rPr>
        <w:t xml:space="preserve">　　</w:t>
      </w:r>
    </w:p>
    <w:tbl>
      <w:tblPr>
        <w:tblW w:w="13924" w:type="dxa"/>
        <w:tblInd w:w="93" w:type="dxa"/>
        <w:tblCellMar>
          <w:top w:w="15" w:type="dxa"/>
          <w:left w:w="15" w:type="dxa"/>
          <w:bottom w:w="15" w:type="dxa"/>
          <w:right w:w="15" w:type="dxa"/>
        </w:tblCellMar>
        <w:tblLook w:val="04A0"/>
      </w:tblPr>
      <w:tblGrid>
        <w:gridCol w:w="2651"/>
        <w:gridCol w:w="913"/>
        <w:gridCol w:w="2060"/>
        <w:gridCol w:w="4190"/>
        <w:gridCol w:w="1404"/>
        <w:gridCol w:w="2706"/>
      </w:tblGrid>
      <w:tr w:rsidR="006A5F64" w:rsidRPr="006A5F64" w:rsidTr="006A5F64">
        <w:trPr>
          <w:trHeight w:val="473"/>
        </w:trPr>
        <w:tc>
          <w:tcPr>
            <w:tcW w:w="13924" w:type="dxa"/>
            <w:gridSpan w:val="6"/>
            <w:vAlign w:val="center"/>
            <w:hideMark/>
          </w:tcPr>
          <w:p w:rsidR="006A5F64" w:rsidRPr="006A5F64" w:rsidRDefault="006A5F64" w:rsidP="006A5F64">
            <w:pPr>
              <w:widowControl/>
              <w:spacing w:line="480" w:lineRule="atLeast"/>
              <w:textAlignment w:val="center"/>
              <w:rPr>
                <w:rFonts w:ascii="Times New Roman" w:eastAsia="宋体" w:hAnsi="Times New Roman" w:cs="Times New Roman"/>
                <w:color w:val="333333"/>
                <w:kern w:val="0"/>
                <w:szCs w:val="21"/>
              </w:rPr>
            </w:pPr>
            <w:r w:rsidRPr="006A5F64">
              <w:rPr>
                <w:rFonts w:ascii="华文中宋" w:eastAsia="华文中宋" w:hAnsi="Times New Roman" w:cs="Times New Roman" w:hint="eastAsia"/>
                <w:color w:val="333333"/>
                <w:kern w:val="0"/>
                <w:sz w:val="32"/>
                <w:szCs w:val="32"/>
              </w:rPr>
              <w:t>收入支出决算总表</w:t>
            </w:r>
          </w:p>
        </w:tc>
      </w:tr>
      <w:tr w:rsidR="006A5F64" w:rsidRPr="006A5F64" w:rsidTr="006A5F64">
        <w:trPr>
          <w:trHeight w:val="196"/>
        </w:trPr>
        <w:tc>
          <w:tcPr>
            <w:tcW w:w="264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4"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01"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3619"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54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925"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公开01表</w:t>
            </w:r>
          </w:p>
        </w:tc>
      </w:tr>
      <w:tr w:rsidR="006A5F64" w:rsidRPr="006A5F64" w:rsidTr="006A5F64">
        <w:trPr>
          <w:trHeight w:val="825"/>
        </w:trPr>
        <w:tc>
          <w:tcPr>
            <w:tcW w:w="2640" w:type="dxa"/>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部门：农安县畜牧业管理局</w:t>
            </w:r>
          </w:p>
        </w:tc>
        <w:tc>
          <w:tcPr>
            <w:tcW w:w="994"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01"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3619"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545"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925" w:type="dxa"/>
            <w:tcBorders>
              <w:top w:val="nil"/>
              <w:left w:val="nil"/>
              <w:bottom w:val="single" w:sz="12" w:space="0" w:color="000000"/>
              <w:right w:val="nil"/>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单位：万元</w:t>
            </w:r>
          </w:p>
        </w:tc>
      </w:tr>
      <w:tr w:rsidR="006A5F64" w:rsidRPr="006A5F64" w:rsidTr="006A5F64">
        <w:trPr>
          <w:trHeight w:val="275"/>
        </w:trPr>
        <w:tc>
          <w:tcPr>
            <w:tcW w:w="5835" w:type="dxa"/>
            <w:gridSpan w:val="3"/>
            <w:tcBorders>
              <w:top w:val="single" w:sz="12" w:space="0" w:color="000000"/>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收入</w:t>
            </w:r>
          </w:p>
        </w:tc>
        <w:tc>
          <w:tcPr>
            <w:tcW w:w="8089" w:type="dxa"/>
            <w:gridSpan w:val="3"/>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支出</w:t>
            </w:r>
          </w:p>
        </w:tc>
      </w:tr>
      <w:tr w:rsidR="006A5F64" w:rsidRPr="006A5F64" w:rsidTr="006A5F64">
        <w:trPr>
          <w:trHeight w:val="435"/>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项    目</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行次</w:t>
            </w:r>
          </w:p>
        </w:tc>
        <w:tc>
          <w:tcPr>
            <w:tcW w:w="2201" w:type="dxa"/>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决算数</w:t>
            </w:r>
          </w:p>
        </w:tc>
        <w:tc>
          <w:tcPr>
            <w:tcW w:w="3619" w:type="dxa"/>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项    目</w:t>
            </w:r>
          </w:p>
        </w:tc>
        <w:tc>
          <w:tcPr>
            <w:tcW w:w="1545" w:type="dxa"/>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行次</w:t>
            </w:r>
          </w:p>
        </w:tc>
        <w:tc>
          <w:tcPr>
            <w:tcW w:w="2925" w:type="dxa"/>
            <w:tcBorders>
              <w:top w:val="single" w:sz="8" w:space="0" w:color="000000"/>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决算数</w:t>
            </w:r>
          </w:p>
        </w:tc>
      </w:tr>
      <w:tr w:rsidR="006A5F64" w:rsidRPr="006A5F64" w:rsidTr="006A5F64">
        <w:trPr>
          <w:trHeight w:val="305"/>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栏    次</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w:t>
            </w:r>
          </w:p>
        </w:tc>
        <w:tc>
          <w:tcPr>
            <w:tcW w:w="3619"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栏    次</w:t>
            </w:r>
          </w:p>
        </w:tc>
        <w:tc>
          <w:tcPr>
            <w:tcW w:w="154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2</w:t>
            </w:r>
          </w:p>
        </w:tc>
      </w:tr>
      <w:tr w:rsidR="006A5F64" w:rsidRPr="006A5F64" w:rsidTr="006A5F64">
        <w:trPr>
          <w:trHeight w:val="410"/>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一、财政拨款收入</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9730.00</w:t>
            </w:r>
          </w:p>
        </w:tc>
        <w:tc>
          <w:tcPr>
            <w:tcW w:w="3619"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一、一般公共服务支出</w:t>
            </w:r>
          </w:p>
        </w:tc>
        <w:tc>
          <w:tcPr>
            <w:tcW w:w="154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14</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35"/>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二、上级补助收入</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3619"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二、外交支出</w:t>
            </w:r>
          </w:p>
        </w:tc>
        <w:tc>
          <w:tcPr>
            <w:tcW w:w="154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15</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435"/>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三、事业收入</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3</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3619"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八、社会保障和就业支出</w:t>
            </w:r>
          </w:p>
        </w:tc>
        <w:tc>
          <w:tcPr>
            <w:tcW w:w="154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16</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643.00</w:t>
            </w:r>
          </w:p>
        </w:tc>
      </w:tr>
      <w:tr w:rsidR="006A5F64" w:rsidRPr="006A5F64" w:rsidTr="006A5F64">
        <w:trPr>
          <w:trHeight w:val="320"/>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四、经营收入</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4</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3619"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十二、农林水利支出</w:t>
            </w:r>
          </w:p>
        </w:tc>
        <w:tc>
          <w:tcPr>
            <w:tcW w:w="154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17</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4110.00</w:t>
            </w:r>
          </w:p>
        </w:tc>
      </w:tr>
      <w:tr w:rsidR="006A5F64" w:rsidRPr="006A5F64" w:rsidTr="006A5F64">
        <w:trPr>
          <w:trHeight w:val="350"/>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五、附属单位上缴收入</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5</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3619"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十九、住房保障支出</w:t>
            </w:r>
          </w:p>
        </w:tc>
        <w:tc>
          <w:tcPr>
            <w:tcW w:w="154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18</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103.00</w:t>
            </w:r>
          </w:p>
        </w:tc>
      </w:tr>
      <w:tr w:rsidR="006A5F64" w:rsidRPr="006A5F64" w:rsidTr="006A5F64">
        <w:trPr>
          <w:trHeight w:val="335"/>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六、其他收入</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6</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45.00</w:t>
            </w:r>
          </w:p>
        </w:tc>
        <w:tc>
          <w:tcPr>
            <w:tcW w:w="3619"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二十、粮油物资储备支出</w:t>
            </w:r>
          </w:p>
        </w:tc>
        <w:tc>
          <w:tcPr>
            <w:tcW w:w="154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19</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501.00</w:t>
            </w:r>
          </w:p>
        </w:tc>
      </w:tr>
      <w:tr w:rsidR="006A5F64" w:rsidRPr="006A5F64" w:rsidTr="006A5F64">
        <w:trPr>
          <w:trHeight w:val="260"/>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7</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3619"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w:t>
            </w:r>
          </w:p>
        </w:tc>
        <w:tc>
          <w:tcPr>
            <w:tcW w:w="154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20</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90"/>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8</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3619"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54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21</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90"/>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b/>
                <w:bCs/>
                <w:color w:val="333333"/>
                <w:kern w:val="0"/>
                <w:sz w:val="22"/>
              </w:rPr>
              <w:t>本年收入合计</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9</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9775.00</w:t>
            </w:r>
          </w:p>
        </w:tc>
        <w:tc>
          <w:tcPr>
            <w:tcW w:w="3619" w:type="dxa"/>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b/>
                <w:bCs/>
                <w:color w:val="333333"/>
                <w:kern w:val="0"/>
                <w:sz w:val="22"/>
              </w:rPr>
              <w:t>本年支出合计</w:t>
            </w:r>
          </w:p>
        </w:tc>
        <w:tc>
          <w:tcPr>
            <w:tcW w:w="154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22</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b/>
                <w:bCs/>
                <w:color w:val="333333"/>
                <w:kern w:val="0"/>
                <w:sz w:val="22"/>
              </w:rPr>
              <w:t>5357.00</w:t>
            </w:r>
          </w:p>
        </w:tc>
      </w:tr>
      <w:tr w:rsidR="006A5F64" w:rsidRPr="006A5F64" w:rsidTr="006A5F64">
        <w:trPr>
          <w:trHeight w:val="333"/>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 用事业基金弥补收支差额</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10</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3619" w:type="dxa"/>
            <w:tcBorders>
              <w:top w:val="nil"/>
              <w:left w:val="nil"/>
              <w:bottom w:val="single" w:sz="8" w:space="0" w:color="000000"/>
              <w:right w:val="nil"/>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                结余分配</w:t>
            </w:r>
          </w:p>
        </w:tc>
        <w:tc>
          <w:tcPr>
            <w:tcW w:w="154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23</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5"/>
        </w:trPr>
        <w:tc>
          <w:tcPr>
            <w:tcW w:w="2640"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         年初结转和结余</w:t>
            </w:r>
          </w:p>
        </w:tc>
        <w:tc>
          <w:tcPr>
            <w:tcW w:w="99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11</w:t>
            </w:r>
          </w:p>
        </w:tc>
        <w:tc>
          <w:tcPr>
            <w:tcW w:w="220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815.00</w:t>
            </w:r>
          </w:p>
        </w:tc>
        <w:tc>
          <w:tcPr>
            <w:tcW w:w="3619" w:type="dxa"/>
            <w:tcBorders>
              <w:top w:val="nil"/>
              <w:left w:val="nil"/>
              <w:bottom w:val="single" w:sz="8" w:space="0" w:color="000000"/>
              <w:right w:val="nil"/>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                年末结转和结余</w:t>
            </w:r>
          </w:p>
        </w:tc>
        <w:tc>
          <w:tcPr>
            <w:tcW w:w="154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24</w:t>
            </w:r>
          </w:p>
        </w:tc>
        <w:tc>
          <w:tcPr>
            <w:tcW w:w="292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5233.00</w:t>
            </w:r>
          </w:p>
        </w:tc>
      </w:tr>
      <w:tr w:rsidR="006A5F64" w:rsidRPr="006A5F64" w:rsidTr="006A5F64">
        <w:trPr>
          <w:trHeight w:val="330"/>
        </w:trPr>
        <w:tc>
          <w:tcPr>
            <w:tcW w:w="2640" w:type="dxa"/>
            <w:tcBorders>
              <w:top w:val="nil"/>
              <w:left w:val="single" w:sz="12" w:space="0" w:color="000000"/>
              <w:bottom w:val="nil"/>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4"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12</w:t>
            </w:r>
          </w:p>
        </w:tc>
        <w:tc>
          <w:tcPr>
            <w:tcW w:w="2201" w:type="dxa"/>
            <w:tcBorders>
              <w:top w:val="nil"/>
              <w:left w:val="nil"/>
              <w:bottom w:val="nil"/>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3619"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54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25</w:t>
            </w:r>
          </w:p>
        </w:tc>
        <w:tc>
          <w:tcPr>
            <w:tcW w:w="2925" w:type="dxa"/>
            <w:tcBorders>
              <w:top w:val="nil"/>
              <w:left w:val="nil"/>
              <w:bottom w:val="nil"/>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5"/>
        </w:trPr>
        <w:tc>
          <w:tcPr>
            <w:tcW w:w="2640" w:type="dxa"/>
            <w:tcBorders>
              <w:top w:val="single" w:sz="8" w:space="0" w:color="000000"/>
              <w:left w:val="single" w:sz="12" w:space="0" w:color="000000"/>
              <w:bottom w:val="single" w:sz="12"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宋体" w:eastAsia="宋体" w:hAnsi="宋体" w:cs="Times New Roman" w:hint="eastAsia"/>
                <w:b/>
                <w:bCs/>
                <w:color w:val="333333"/>
                <w:kern w:val="0"/>
                <w:sz w:val="22"/>
              </w:rPr>
              <w:t>总计</w:t>
            </w:r>
          </w:p>
        </w:tc>
        <w:tc>
          <w:tcPr>
            <w:tcW w:w="994"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13</w:t>
            </w:r>
          </w:p>
        </w:tc>
        <w:tc>
          <w:tcPr>
            <w:tcW w:w="2201" w:type="dxa"/>
            <w:tcBorders>
              <w:top w:val="single" w:sz="8" w:space="0" w:color="000000"/>
              <w:left w:val="nil"/>
              <w:bottom w:val="single" w:sz="12"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10590.00</w:t>
            </w:r>
          </w:p>
        </w:tc>
        <w:tc>
          <w:tcPr>
            <w:tcW w:w="3619" w:type="dxa"/>
            <w:tcBorders>
              <w:top w:val="single" w:sz="8" w:space="0" w:color="000000"/>
              <w:left w:val="nil"/>
              <w:bottom w:val="single" w:sz="12"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b/>
                <w:bCs/>
                <w:color w:val="333333"/>
                <w:kern w:val="0"/>
                <w:sz w:val="22"/>
              </w:rPr>
              <w:t>总计</w:t>
            </w:r>
          </w:p>
        </w:tc>
        <w:tc>
          <w:tcPr>
            <w:tcW w:w="154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26</w:t>
            </w:r>
          </w:p>
        </w:tc>
        <w:tc>
          <w:tcPr>
            <w:tcW w:w="2925" w:type="dxa"/>
            <w:tcBorders>
              <w:top w:val="single" w:sz="8" w:space="0" w:color="000000"/>
              <w:left w:val="nil"/>
              <w:bottom w:val="single" w:sz="12" w:space="0" w:color="000000"/>
              <w:right w:val="single" w:sz="12"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b/>
                <w:bCs/>
                <w:color w:val="333333"/>
                <w:kern w:val="0"/>
                <w:sz w:val="22"/>
              </w:rPr>
              <w:t>10590.00</w:t>
            </w:r>
          </w:p>
        </w:tc>
      </w:tr>
      <w:tr w:rsidR="006A5F64" w:rsidRPr="006A5F64" w:rsidTr="006A5F64">
        <w:trPr>
          <w:trHeight w:val="585"/>
        </w:trPr>
        <w:tc>
          <w:tcPr>
            <w:tcW w:w="13924" w:type="dxa"/>
            <w:gridSpan w:val="6"/>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注：本表反映部门本年度的总收支和年末结转结余情况。</w:t>
            </w:r>
          </w:p>
        </w:tc>
      </w:tr>
    </w:tbl>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黑体" w:eastAsia="黑体" w:hAnsi="黑体" w:cs="Times New Roman" w:hint="eastAsia"/>
          <w:color w:val="333333"/>
          <w:kern w:val="0"/>
          <w:sz w:val="32"/>
          <w:szCs w:val="32"/>
        </w:rPr>
        <w:t>二、收入决算表</w:t>
      </w:r>
    </w:p>
    <w:tbl>
      <w:tblPr>
        <w:tblW w:w="14059" w:type="dxa"/>
        <w:tblInd w:w="93" w:type="dxa"/>
        <w:tblCellMar>
          <w:top w:w="15" w:type="dxa"/>
          <w:left w:w="15" w:type="dxa"/>
          <w:bottom w:w="15" w:type="dxa"/>
          <w:right w:w="15" w:type="dxa"/>
        </w:tblCellMar>
        <w:tblLook w:val="04A0"/>
      </w:tblPr>
      <w:tblGrid>
        <w:gridCol w:w="554"/>
        <w:gridCol w:w="599"/>
        <w:gridCol w:w="2841"/>
        <w:gridCol w:w="2550"/>
        <w:gridCol w:w="1365"/>
        <w:gridCol w:w="1335"/>
        <w:gridCol w:w="1050"/>
        <w:gridCol w:w="990"/>
        <w:gridCol w:w="1830"/>
        <w:gridCol w:w="945"/>
      </w:tblGrid>
      <w:tr w:rsidR="006A5F64" w:rsidRPr="006A5F64" w:rsidTr="006A5F64">
        <w:trPr>
          <w:trHeight w:val="413"/>
        </w:trPr>
        <w:tc>
          <w:tcPr>
            <w:tcW w:w="14059" w:type="dxa"/>
            <w:gridSpan w:val="10"/>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华文中宋" w:eastAsia="华文中宋" w:hAnsi="Times New Roman" w:cs="Times New Roman" w:hint="eastAsia"/>
                <w:color w:val="333333"/>
                <w:kern w:val="0"/>
                <w:sz w:val="32"/>
                <w:szCs w:val="32"/>
              </w:rPr>
              <w:t>收入决算表</w:t>
            </w:r>
          </w:p>
        </w:tc>
      </w:tr>
      <w:tr w:rsidR="006A5F64" w:rsidRPr="006A5F64" w:rsidTr="006A5F64">
        <w:trPr>
          <w:trHeight w:val="286"/>
        </w:trPr>
        <w:tc>
          <w:tcPr>
            <w:tcW w:w="554"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99"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841"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55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6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3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公开02表</w:t>
            </w:r>
          </w:p>
        </w:tc>
      </w:tr>
      <w:tr w:rsidR="006A5F64" w:rsidRPr="006A5F64" w:rsidTr="006A5F64">
        <w:trPr>
          <w:trHeight w:val="301"/>
        </w:trPr>
        <w:tc>
          <w:tcPr>
            <w:tcW w:w="7909" w:type="dxa"/>
            <w:gridSpan w:val="5"/>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部门：农安县畜牧业管理局</w:t>
            </w:r>
          </w:p>
        </w:tc>
        <w:tc>
          <w:tcPr>
            <w:tcW w:w="133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单位：万元</w:t>
            </w:r>
          </w:p>
        </w:tc>
      </w:tr>
      <w:tr w:rsidR="006A5F64" w:rsidRPr="006A5F64" w:rsidTr="006A5F64">
        <w:trPr>
          <w:trHeight w:val="335"/>
        </w:trPr>
        <w:tc>
          <w:tcPr>
            <w:tcW w:w="3994" w:type="dxa"/>
            <w:gridSpan w:val="3"/>
            <w:tcBorders>
              <w:top w:val="single" w:sz="12" w:space="0" w:color="000000"/>
              <w:left w:val="single" w:sz="12" w:space="0" w:color="000000"/>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项    目</w:t>
            </w:r>
          </w:p>
        </w:tc>
        <w:tc>
          <w:tcPr>
            <w:tcW w:w="2550" w:type="dxa"/>
            <w:vMerge w:val="restart"/>
            <w:tcBorders>
              <w:top w:val="single" w:sz="12" w:space="0" w:color="000000"/>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本年收入合计</w:t>
            </w:r>
          </w:p>
        </w:tc>
        <w:tc>
          <w:tcPr>
            <w:tcW w:w="1365" w:type="dxa"/>
            <w:vMerge w:val="restart"/>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财政拨款收入</w:t>
            </w:r>
          </w:p>
        </w:tc>
        <w:tc>
          <w:tcPr>
            <w:tcW w:w="1335" w:type="dxa"/>
            <w:vMerge w:val="restart"/>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上级补助收入</w:t>
            </w:r>
          </w:p>
        </w:tc>
        <w:tc>
          <w:tcPr>
            <w:tcW w:w="1050" w:type="dxa"/>
            <w:vMerge w:val="restart"/>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事业收入</w:t>
            </w:r>
          </w:p>
        </w:tc>
        <w:tc>
          <w:tcPr>
            <w:tcW w:w="990" w:type="dxa"/>
            <w:vMerge w:val="restart"/>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经营收入</w:t>
            </w:r>
          </w:p>
        </w:tc>
        <w:tc>
          <w:tcPr>
            <w:tcW w:w="1830" w:type="dxa"/>
            <w:vMerge w:val="restart"/>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附属单位上缴收入</w:t>
            </w:r>
          </w:p>
        </w:tc>
        <w:tc>
          <w:tcPr>
            <w:tcW w:w="945" w:type="dxa"/>
            <w:vMerge w:val="restart"/>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其他收入</w:t>
            </w:r>
          </w:p>
        </w:tc>
      </w:tr>
      <w:tr w:rsidR="006A5F64" w:rsidRPr="006A5F64" w:rsidTr="006A5F64">
        <w:trPr>
          <w:trHeight w:val="480"/>
        </w:trPr>
        <w:tc>
          <w:tcPr>
            <w:tcW w:w="1153" w:type="dxa"/>
            <w:gridSpan w:val="2"/>
            <w:vMerge w:val="restart"/>
            <w:tcBorders>
              <w:top w:val="nil"/>
              <w:left w:val="single" w:sz="12" w:space="0" w:color="000000"/>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功能分类科目编码</w:t>
            </w:r>
          </w:p>
        </w:tc>
        <w:tc>
          <w:tcPr>
            <w:tcW w:w="2841" w:type="dxa"/>
            <w:vMerge w:val="restart"/>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科目名称</w:t>
            </w:r>
          </w:p>
        </w:tc>
        <w:tc>
          <w:tcPr>
            <w:tcW w:w="0" w:type="auto"/>
            <w:vMerge/>
            <w:tcBorders>
              <w:top w:val="single" w:sz="12" w:space="0" w:color="000000"/>
              <w:left w:val="single" w:sz="8"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312"/>
        </w:trPr>
        <w:tc>
          <w:tcPr>
            <w:tcW w:w="0" w:type="auto"/>
            <w:gridSpan w:val="2"/>
            <w:vMerge/>
            <w:tcBorders>
              <w:top w:val="nil"/>
              <w:left w:val="single" w:sz="12"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single" w:sz="8"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305"/>
        </w:trPr>
        <w:tc>
          <w:tcPr>
            <w:tcW w:w="3994" w:type="dxa"/>
            <w:gridSpan w:val="3"/>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栏次</w:t>
            </w:r>
          </w:p>
        </w:tc>
        <w:tc>
          <w:tcPr>
            <w:tcW w:w="25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w:t>
            </w:r>
          </w:p>
        </w:tc>
        <w:tc>
          <w:tcPr>
            <w:tcW w:w="13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2</w:t>
            </w:r>
          </w:p>
        </w:tc>
        <w:tc>
          <w:tcPr>
            <w:tcW w:w="133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3</w:t>
            </w:r>
          </w:p>
        </w:tc>
        <w:tc>
          <w:tcPr>
            <w:tcW w:w="10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4</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w:t>
            </w:r>
          </w:p>
        </w:tc>
        <w:tc>
          <w:tcPr>
            <w:tcW w:w="183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6</w:t>
            </w:r>
          </w:p>
        </w:tc>
        <w:tc>
          <w:tcPr>
            <w:tcW w:w="94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7</w:t>
            </w:r>
          </w:p>
        </w:tc>
      </w:tr>
      <w:tr w:rsidR="006A5F64" w:rsidRPr="006A5F64" w:rsidTr="006A5F64">
        <w:trPr>
          <w:trHeight w:val="285"/>
        </w:trPr>
        <w:tc>
          <w:tcPr>
            <w:tcW w:w="3994" w:type="dxa"/>
            <w:gridSpan w:val="3"/>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合计</w:t>
            </w:r>
          </w:p>
        </w:tc>
        <w:tc>
          <w:tcPr>
            <w:tcW w:w="25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9775.00</w:t>
            </w:r>
          </w:p>
        </w:tc>
        <w:tc>
          <w:tcPr>
            <w:tcW w:w="13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9730.00</w:t>
            </w:r>
          </w:p>
        </w:tc>
        <w:tc>
          <w:tcPr>
            <w:tcW w:w="133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45.00</w:t>
            </w:r>
          </w:p>
        </w:tc>
      </w:tr>
      <w:tr w:rsidR="006A5F64" w:rsidRPr="006A5F64" w:rsidTr="006A5F64">
        <w:trPr>
          <w:trHeight w:val="290"/>
        </w:trPr>
        <w:tc>
          <w:tcPr>
            <w:tcW w:w="1153"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2080501</w:t>
            </w:r>
          </w:p>
        </w:tc>
        <w:tc>
          <w:tcPr>
            <w:tcW w:w="284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归口管理的行政单位离退休</w:t>
            </w:r>
          </w:p>
        </w:tc>
        <w:tc>
          <w:tcPr>
            <w:tcW w:w="25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74.00</w:t>
            </w:r>
          </w:p>
        </w:tc>
        <w:tc>
          <w:tcPr>
            <w:tcW w:w="13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74.00</w:t>
            </w:r>
          </w:p>
        </w:tc>
        <w:tc>
          <w:tcPr>
            <w:tcW w:w="133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tcBorders>
              <w:top w:val="single" w:sz="8"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90"/>
        </w:trPr>
        <w:tc>
          <w:tcPr>
            <w:tcW w:w="1153"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2080502</w:t>
            </w:r>
          </w:p>
        </w:tc>
        <w:tc>
          <w:tcPr>
            <w:tcW w:w="284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事业单位离退休</w:t>
            </w:r>
          </w:p>
        </w:tc>
        <w:tc>
          <w:tcPr>
            <w:tcW w:w="25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569.00</w:t>
            </w:r>
          </w:p>
        </w:tc>
        <w:tc>
          <w:tcPr>
            <w:tcW w:w="13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569.00</w:t>
            </w:r>
          </w:p>
        </w:tc>
        <w:tc>
          <w:tcPr>
            <w:tcW w:w="133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60"/>
        </w:trPr>
        <w:tc>
          <w:tcPr>
            <w:tcW w:w="1153"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2130101</w:t>
            </w:r>
          </w:p>
        </w:tc>
        <w:tc>
          <w:tcPr>
            <w:tcW w:w="284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行政运行</w:t>
            </w:r>
          </w:p>
        </w:tc>
        <w:tc>
          <w:tcPr>
            <w:tcW w:w="25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114.00</w:t>
            </w:r>
          </w:p>
        </w:tc>
        <w:tc>
          <w:tcPr>
            <w:tcW w:w="13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69.00</w:t>
            </w:r>
          </w:p>
        </w:tc>
        <w:tc>
          <w:tcPr>
            <w:tcW w:w="133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45.00</w:t>
            </w:r>
          </w:p>
        </w:tc>
      </w:tr>
      <w:tr w:rsidR="006A5F64" w:rsidRPr="006A5F64" w:rsidTr="006A5F64">
        <w:trPr>
          <w:trHeight w:val="290"/>
        </w:trPr>
        <w:tc>
          <w:tcPr>
            <w:tcW w:w="1153"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2130104</w:t>
            </w:r>
          </w:p>
        </w:tc>
        <w:tc>
          <w:tcPr>
            <w:tcW w:w="284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事业运行</w:t>
            </w:r>
          </w:p>
        </w:tc>
        <w:tc>
          <w:tcPr>
            <w:tcW w:w="25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1429.00</w:t>
            </w:r>
          </w:p>
        </w:tc>
        <w:tc>
          <w:tcPr>
            <w:tcW w:w="13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1429.00</w:t>
            </w:r>
          </w:p>
        </w:tc>
        <w:tc>
          <w:tcPr>
            <w:tcW w:w="133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75"/>
        </w:trPr>
        <w:tc>
          <w:tcPr>
            <w:tcW w:w="1153"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2130108</w:t>
            </w:r>
          </w:p>
        </w:tc>
        <w:tc>
          <w:tcPr>
            <w:tcW w:w="284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病虫害控制</w:t>
            </w:r>
          </w:p>
        </w:tc>
        <w:tc>
          <w:tcPr>
            <w:tcW w:w="25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943.00</w:t>
            </w:r>
          </w:p>
        </w:tc>
        <w:tc>
          <w:tcPr>
            <w:tcW w:w="13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943.00</w:t>
            </w:r>
          </w:p>
        </w:tc>
        <w:tc>
          <w:tcPr>
            <w:tcW w:w="133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75"/>
        </w:trPr>
        <w:tc>
          <w:tcPr>
            <w:tcW w:w="1153"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2130122</w:t>
            </w:r>
          </w:p>
        </w:tc>
        <w:tc>
          <w:tcPr>
            <w:tcW w:w="284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农业生产支持补贴</w:t>
            </w:r>
          </w:p>
        </w:tc>
        <w:tc>
          <w:tcPr>
            <w:tcW w:w="25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582.00</w:t>
            </w:r>
          </w:p>
        </w:tc>
        <w:tc>
          <w:tcPr>
            <w:tcW w:w="13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582.00</w:t>
            </w:r>
          </w:p>
        </w:tc>
        <w:tc>
          <w:tcPr>
            <w:tcW w:w="133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00"/>
        </w:trPr>
        <w:tc>
          <w:tcPr>
            <w:tcW w:w="1153"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2130199</w:t>
            </w:r>
          </w:p>
        </w:tc>
        <w:tc>
          <w:tcPr>
            <w:tcW w:w="284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其他农业支出</w:t>
            </w:r>
          </w:p>
        </w:tc>
        <w:tc>
          <w:tcPr>
            <w:tcW w:w="25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5460.00</w:t>
            </w:r>
          </w:p>
        </w:tc>
        <w:tc>
          <w:tcPr>
            <w:tcW w:w="13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5460.00</w:t>
            </w:r>
          </w:p>
        </w:tc>
        <w:tc>
          <w:tcPr>
            <w:tcW w:w="133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75"/>
        </w:trPr>
        <w:tc>
          <w:tcPr>
            <w:tcW w:w="1153" w:type="dxa"/>
            <w:gridSpan w:val="2"/>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2210201</w:t>
            </w:r>
          </w:p>
        </w:tc>
        <w:tc>
          <w:tcPr>
            <w:tcW w:w="284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住房公积金</w:t>
            </w:r>
          </w:p>
        </w:tc>
        <w:tc>
          <w:tcPr>
            <w:tcW w:w="25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103.00</w:t>
            </w:r>
          </w:p>
        </w:tc>
        <w:tc>
          <w:tcPr>
            <w:tcW w:w="13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103.00</w:t>
            </w:r>
          </w:p>
        </w:tc>
        <w:tc>
          <w:tcPr>
            <w:tcW w:w="133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60"/>
        </w:trPr>
        <w:tc>
          <w:tcPr>
            <w:tcW w:w="1153" w:type="dxa"/>
            <w:gridSpan w:val="2"/>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2220199</w:t>
            </w:r>
          </w:p>
        </w:tc>
        <w:tc>
          <w:tcPr>
            <w:tcW w:w="284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其他粮油事务支出</w:t>
            </w:r>
          </w:p>
        </w:tc>
        <w:tc>
          <w:tcPr>
            <w:tcW w:w="255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501.00</w:t>
            </w:r>
          </w:p>
        </w:tc>
        <w:tc>
          <w:tcPr>
            <w:tcW w:w="13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501.00</w:t>
            </w:r>
          </w:p>
        </w:tc>
        <w:tc>
          <w:tcPr>
            <w:tcW w:w="133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5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83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4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615"/>
        </w:trPr>
        <w:tc>
          <w:tcPr>
            <w:tcW w:w="14059" w:type="dxa"/>
            <w:gridSpan w:val="10"/>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注：本表反映部门本年度取得的各项收入情况。</w:t>
            </w:r>
          </w:p>
        </w:tc>
      </w:tr>
    </w:tbl>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黑体" w:eastAsia="黑体" w:hAnsi="黑体" w:cs="Times New Roman" w:hint="eastAsia"/>
          <w:color w:val="333333"/>
          <w:kern w:val="0"/>
          <w:sz w:val="32"/>
          <w:szCs w:val="32"/>
        </w:rPr>
        <w:t>三、支出决算表</w:t>
      </w:r>
    </w:p>
    <w:tbl>
      <w:tblPr>
        <w:tblW w:w="12068" w:type="dxa"/>
        <w:tblInd w:w="93" w:type="dxa"/>
        <w:tblCellMar>
          <w:top w:w="15" w:type="dxa"/>
          <w:left w:w="15" w:type="dxa"/>
          <w:bottom w:w="15" w:type="dxa"/>
          <w:right w:w="15" w:type="dxa"/>
        </w:tblCellMar>
        <w:tblLook w:val="04A0"/>
      </w:tblPr>
      <w:tblGrid>
        <w:gridCol w:w="595"/>
        <w:gridCol w:w="595"/>
        <w:gridCol w:w="2533"/>
        <w:gridCol w:w="1193"/>
        <w:gridCol w:w="1075"/>
        <w:gridCol w:w="1311"/>
        <w:gridCol w:w="1102"/>
        <w:gridCol w:w="1311"/>
        <w:gridCol w:w="783"/>
        <w:gridCol w:w="504"/>
        <w:gridCol w:w="1066"/>
      </w:tblGrid>
      <w:tr w:rsidR="006A5F64" w:rsidRPr="006A5F64" w:rsidTr="006A5F64">
        <w:trPr>
          <w:trHeight w:val="330"/>
        </w:trPr>
        <w:tc>
          <w:tcPr>
            <w:tcW w:w="12068" w:type="dxa"/>
            <w:gridSpan w:val="11"/>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华文中宋" w:eastAsia="华文中宋" w:hAnsi="Times New Roman" w:cs="Times New Roman" w:hint="eastAsia"/>
                <w:color w:val="333333"/>
                <w:kern w:val="0"/>
                <w:sz w:val="32"/>
                <w:szCs w:val="32"/>
              </w:rPr>
              <w:t>支出决算表</w:t>
            </w:r>
          </w:p>
        </w:tc>
      </w:tr>
      <w:tr w:rsidR="006A5F64" w:rsidRPr="006A5F64" w:rsidTr="006A5F64">
        <w:trPr>
          <w:trHeight w:val="211"/>
        </w:trPr>
        <w:tc>
          <w:tcPr>
            <w:tcW w:w="59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9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533"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93"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7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02"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83"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公开03表</w:t>
            </w:r>
          </w:p>
        </w:tc>
      </w:tr>
      <w:tr w:rsidR="006A5F64" w:rsidRPr="006A5F64" w:rsidTr="006A5F64">
        <w:trPr>
          <w:trHeight w:val="301"/>
        </w:trPr>
        <w:tc>
          <w:tcPr>
            <w:tcW w:w="4916" w:type="dxa"/>
            <w:gridSpan w:val="4"/>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部门：农安县畜牧业管理局</w:t>
            </w:r>
          </w:p>
        </w:tc>
        <w:tc>
          <w:tcPr>
            <w:tcW w:w="107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02"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83"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单位：万元</w:t>
            </w:r>
          </w:p>
        </w:tc>
      </w:tr>
      <w:tr w:rsidR="006A5F64" w:rsidRPr="006A5F64" w:rsidTr="006A5F64">
        <w:trPr>
          <w:trHeight w:val="330"/>
        </w:trPr>
        <w:tc>
          <w:tcPr>
            <w:tcW w:w="3723" w:type="dxa"/>
            <w:gridSpan w:val="3"/>
            <w:tcBorders>
              <w:top w:val="single" w:sz="12" w:space="0" w:color="000000"/>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项    目</w:t>
            </w:r>
          </w:p>
        </w:tc>
        <w:tc>
          <w:tcPr>
            <w:tcW w:w="1193" w:type="dxa"/>
            <w:vMerge w:val="restart"/>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本年支出合计</w:t>
            </w:r>
          </w:p>
        </w:tc>
        <w:tc>
          <w:tcPr>
            <w:tcW w:w="3488" w:type="dxa"/>
            <w:gridSpan w:val="3"/>
            <w:vMerge w:val="restart"/>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基本支出</w:t>
            </w:r>
          </w:p>
        </w:tc>
        <w:tc>
          <w:tcPr>
            <w:tcW w:w="1311" w:type="dxa"/>
            <w:vMerge w:val="restart"/>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项目支出</w:t>
            </w:r>
          </w:p>
        </w:tc>
        <w:tc>
          <w:tcPr>
            <w:tcW w:w="783" w:type="dxa"/>
            <w:vMerge w:val="restart"/>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上缴上级支出</w:t>
            </w:r>
          </w:p>
        </w:tc>
        <w:tc>
          <w:tcPr>
            <w:tcW w:w="504" w:type="dxa"/>
            <w:vMerge w:val="restart"/>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经营支出</w:t>
            </w:r>
          </w:p>
        </w:tc>
        <w:tc>
          <w:tcPr>
            <w:tcW w:w="1066" w:type="dxa"/>
            <w:vMerge w:val="restart"/>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对附属单位补助支出</w:t>
            </w:r>
          </w:p>
        </w:tc>
      </w:tr>
      <w:tr w:rsidR="006A5F64" w:rsidRPr="006A5F64" w:rsidTr="006A5F64">
        <w:trPr>
          <w:trHeight w:val="480"/>
        </w:trPr>
        <w:tc>
          <w:tcPr>
            <w:tcW w:w="1190" w:type="dxa"/>
            <w:gridSpan w:val="2"/>
            <w:vMerge w:val="restart"/>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功能分类科目编码</w:t>
            </w:r>
          </w:p>
        </w:tc>
        <w:tc>
          <w:tcPr>
            <w:tcW w:w="2533" w:type="dxa"/>
            <w:vMerge w:val="restart"/>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科目名称</w:t>
            </w: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gridSpan w:val="3"/>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316"/>
        </w:trPr>
        <w:tc>
          <w:tcPr>
            <w:tcW w:w="0" w:type="auto"/>
            <w:gridSpan w:val="2"/>
            <w:vMerge/>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107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合计</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人员经费</w:t>
            </w:r>
          </w:p>
        </w:tc>
        <w:tc>
          <w:tcPr>
            <w:tcW w:w="11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公用经费</w:t>
            </w: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316"/>
        </w:trPr>
        <w:tc>
          <w:tcPr>
            <w:tcW w:w="3723" w:type="dxa"/>
            <w:gridSpan w:val="3"/>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栏次</w:t>
            </w:r>
          </w:p>
        </w:tc>
        <w:tc>
          <w:tcPr>
            <w:tcW w:w="11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w:t>
            </w:r>
          </w:p>
        </w:tc>
        <w:tc>
          <w:tcPr>
            <w:tcW w:w="3488" w:type="dxa"/>
            <w:gridSpan w:val="3"/>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2</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3</w:t>
            </w:r>
          </w:p>
        </w:tc>
        <w:tc>
          <w:tcPr>
            <w:tcW w:w="78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4</w:t>
            </w:r>
          </w:p>
        </w:tc>
        <w:tc>
          <w:tcPr>
            <w:tcW w:w="50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w:t>
            </w:r>
          </w:p>
        </w:tc>
        <w:tc>
          <w:tcPr>
            <w:tcW w:w="1066"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6</w:t>
            </w:r>
          </w:p>
        </w:tc>
      </w:tr>
      <w:tr w:rsidR="006A5F64" w:rsidRPr="006A5F64" w:rsidTr="006A5F64">
        <w:trPr>
          <w:trHeight w:val="330"/>
        </w:trPr>
        <w:tc>
          <w:tcPr>
            <w:tcW w:w="3723" w:type="dxa"/>
            <w:gridSpan w:val="3"/>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合计</w:t>
            </w:r>
          </w:p>
        </w:tc>
        <w:tc>
          <w:tcPr>
            <w:tcW w:w="11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5357.00</w:t>
            </w:r>
          </w:p>
        </w:tc>
        <w:tc>
          <w:tcPr>
            <w:tcW w:w="107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2381.00</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2218.00</w:t>
            </w:r>
          </w:p>
        </w:tc>
        <w:tc>
          <w:tcPr>
            <w:tcW w:w="11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163.00</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2976.00</w:t>
            </w:r>
          </w:p>
        </w:tc>
        <w:tc>
          <w:tcPr>
            <w:tcW w:w="78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tcBorders>
              <w:top w:val="single" w:sz="8"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30"/>
        </w:trPr>
        <w:tc>
          <w:tcPr>
            <w:tcW w:w="119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2080501</w:t>
            </w:r>
          </w:p>
        </w:tc>
        <w:tc>
          <w:tcPr>
            <w:tcW w:w="253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归口管理的行政单位离退休</w:t>
            </w:r>
          </w:p>
        </w:tc>
        <w:tc>
          <w:tcPr>
            <w:tcW w:w="11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74.00</w:t>
            </w:r>
          </w:p>
        </w:tc>
        <w:tc>
          <w:tcPr>
            <w:tcW w:w="107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74.00</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74.00</w:t>
            </w:r>
          </w:p>
        </w:tc>
        <w:tc>
          <w:tcPr>
            <w:tcW w:w="1102"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8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tcBorders>
              <w:top w:val="single" w:sz="8"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16"/>
        </w:trPr>
        <w:tc>
          <w:tcPr>
            <w:tcW w:w="119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2080502</w:t>
            </w:r>
          </w:p>
        </w:tc>
        <w:tc>
          <w:tcPr>
            <w:tcW w:w="253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事业单位离退休</w:t>
            </w:r>
          </w:p>
        </w:tc>
        <w:tc>
          <w:tcPr>
            <w:tcW w:w="11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569.00</w:t>
            </w:r>
          </w:p>
        </w:tc>
        <w:tc>
          <w:tcPr>
            <w:tcW w:w="107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569.00</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569.00</w:t>
            </w:r>
          </w:p>
        </w:tc>
        <w:tc>
          <w:tcPr>
            <w:tcW w:w="1102"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8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16"/>
        </w:trPr>
        <w:tc>
          <w:tcPr>
            <w:tcW w:w="119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2130101</w:t>
            </w:r>
          </w:p>
        </w:tc>
        <w:tc>
          <w:tcPr>
            <w:tcW w:w="253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行政运行</w:t>
            </w:r>
          </w:p>
        </w:tc>
        <w:tc>
          <w:tcPr>
            <w:tcW w:w="11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106.00</w:t>
            </w:r>
          </w:p>
        </w:tc>
        <w:tc>
          <w:tcPr>
            <w:tcW w:w="107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106.00</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57.00</w:t>
            </w:r>
          </w:p>
        </w:tc>
        <w:tc>
          <w:tcPr>
            <w:tcW w:w="11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49.00</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8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30"/>
        </w:trPr>
        <w:tc>
          <w:tcPr>
            <w:tcW w:w="119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2130104</w:t>
            </w:r>
          </w:p>
        </w:tc>
        <w:tc>
          <w:tcPr>
            <w:tcW w:w="253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事业运行</w:t>
            </w:r>
          </w:p>
        </w:tc>
        <w:tc>
          <w:tcPr>
            <w:tcW w:w="11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1529.00</w:t>
            </w:r>
          </w:p>
        </w:tc>
        <w:tc>
          <w:tcPr>
            <w:tcW w:w="107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1529.00</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1415.00</w:t>
            </w:r>
          </w:p>
        </w:tc>
        <w:tc>
          <w:tcPr>
            <w:tcW w:w="11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114.00</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8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16"/>
        </w:trPr>
        <w:tc>
          <w:tcPr>
            <w:tcW w:w="119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2130108</w:t>
            </w:r>
          </w:p>
        </w:tc>
        <w:tc>
          <w:tcPr>
            <w:tcW w:w="253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病虫害控制</w:t>
            </w:r>
          </w:p>
        </w:tc>
        <w:tc>
          <w:tcPr>
            <w:tcW w:w="11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937.00</w:t>
            </w:r>
          </w:p>
        </w:tc>
        <w:tc>
          <w:tcPr>
            <w:tcW w:w="107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02"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937.00</w:t>
            </w:r>
          </w:p>
        </w:tc>
        <w:tc>
          <w:tcPr>
            <w:tcW w:w="78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16"/>
        </w:trPr>
        <w:tc>
          <w:tcPr>
            <w:tcW w:w="119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2130122</w:t>
            </w:r>
          </w:p>
        </w:tc>
        <w:tc>
          <w:tcPr>
            <w:tcW w:w="253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农业生产支持补贴</w:t>
            </w:r>
          </w:p>
        </w:tc>
        <w:tc>
          <w:tcPr>
            <w:tcW w:w="11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862.00</w:t>
            </w:r>
          </w:p>
        </w:tc>
        <w:tc>
          <w:tcPr>
            <w:tcW w:w="107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02"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862.00</w:t>
            </w:r>
          </w:p>
        </w:tc>
        <w:tc>
          <w:tcPr>
            <w:tcW w:w="78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30"/>
        </w:trPr>
        <w:tc>
          <w:tcPr>
            <w:tcW w:w="119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2130199</w:t>
            </w:r>
          </w:p>
        </w:tc>
        <w:tc>
          <w:tcPr>
            <w:tcW w:w="253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其他农业支出</w:t>
            </w:r>
          </w:p>
        </w:tc>
        <w:tc>
          <w:tcPr>
            <w:tcW w:w="11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676.00</w:t>
            </w:r>
          </w:p>
        </w:tc>
        <w:tc>
          <w:tcPr>
            <w:tcW w:w="107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02"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676.00</w:t>
            </w:r>
          </w:p>
        </w:tc>
        <w:tc>
          <w:tcPr>
            <w:tcW w:w="78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30"/>
        </w:trPr>
        <w:tc>
          <w:tcPr>
            <w:tcW w:w="1190" w:type="dxa"/>
            <w:gridSpan w:val="2"/>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2210201</w:t>
            </w:r>
          </w:p>
        </w:tc>
        <w:tc>
          <w:tcPr>
            <w:tcW w:w="253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住房公积金</w:t>
            </w:r>
          </w:p>
        </w:tc>
        <w:tc>
          <w:tcPr>
            <w:tcW w:w="11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103.00</w:t>
            </w:r>
          </w:p>
        </w:tc>
        <w:tc>
          <w:tcPr>
            <w:tcW w:w="107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103.00</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103.00</w:t>
            </w:r>
          </w:p>
        </w:tc>
        <w:tc>
          <w:tcPr>
            <w:tcW w:w="1102"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8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86"/>
        </w:trPr>
        <w:tc>
          <w:tcPr>
            <w:tcW w:w="1190" w:type="dxa"/>
            <w:gridSpan w:val="2"/>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宋体" w:eastAsia="宋体" w:hAnsi="宋体" w:cs="Times New Roman" w:hint="eastAsia"/>
                <w:color w:val="333333"/>
                <w:kern w:val="0"/>
                <w:sz w:val="20"/>
                <w:szCs w:val="20"/>
              </w:rPr>
              <w:t>2220199</w:t>
            </w:r>
          </w:p>
        </w:tc>
        <w:tc>
          <w:tcPr>
            <w:tcW w:w="253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其他粮油事务支出</w:t>
            </w:r>
          </w:p>
        </w:tc>
        <w:tc>
          <w:tcPr>
            <w:tcW w:w="11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501.00</w:t>
            </w:r>
          </w:p>
        </w:tc>
        <w:tc>
          <w:tcPr>
            <w:tcW w:w="107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02"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501.00</w:t>
            </w:r>
          </w:p>
        </w:tc>
        <w:tc>
          <w:tcPr>
            <w:tcW w:w="78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50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6"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90"/>
        </w:trPr>
        <w:tc>
          <w:tcPr>
            <w:tcW w:w="12068" w:type="dxa"/>
            <w:gridSpan w:val="11"/>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注：本表反映部门本年度各项支出情况。</w:t>
            </w:r>
          </w:p>
        </w:tc>
      </w:tr>
    </w:tbl>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黑体" w:eastAsia="黑体" w:hAnsi="黑体" w:cs="Times New Roman" w:hint="eastAsia"/>
          <w:color w:val="333333"/>
          <w:kern w:val="0"/>
          <w:szCs w:val="21"/>
        </w:rPr>
        <w:t>四、财政拨款收入支出决算总表</w:t>
      </w:r>
    </w:p>
    <w:tbl>
      <w:tblPr>
        <w:tblW w:w="14235" w:type="dxa"/>
        <w:tblInd w:w="-98" w:type="dxa"/>
        <w:tblCellMar>
          <w:top w:w="15" w:type="dxa"/>
          <w:left w:w="15" w:type="dxa"/>
          <w:bottom w:w="15" w:type="dxa"/>
          <w:right w:w="15" w:type="dxa"/>
        </w:tblCellMar>
        <w:tblLook w:val="04A0"/>
      </w:tblPr>
      <w:tblGrid>
        <w:gridCol w:w="2638"/>
        <w:gridCol w:w="602"/>
        <w:gridCol w:w="2393"/>
        <w:gridCol w:w="2287"/>
        <w:gridCol w:w="705"/>
        <w:gridCol w:w="780"/>
        <w:gridCol w:w="2175"/>
        <w:gridCol w:w="2655"/>
      </w:tblGrid>
      <w:tr w:rsidR="006A5F64" w:rsidRPr="006A5F64" w:rsidTr="006A5F64">
        <w:trPr>
          <w:trHeight w:val="428"/>
        </w:trPr>
        <w:tc>
          <w:tcPr>
            <w:tcW w:w="14235" w:type="dxa"/>
            <w:gridSpan w:val="8"/>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华文中宋" w:eastAsia="华文中宋" w:hAnsi="Times New Roman" w:cs="Times New Roman" w:hint="eastAsia"/>
                <w:color w:val="333333"/>
                <w:kern w:val="0"/>
                <w:sz w:val="32"/>
                <w:szCs w:val="32"/>
              </w:rPr>
              <w:t>财政拨款收入支出决算总表</w:t>
            </w:r>
          </w:p>
        </w:tc>
      </w:tr>
      <w:tr w:rsidR="006A5F64" w:rsidRPr="006A5F64" w:rsidTr="006A5F64">
        <w:trPr>
          <w:trHeight w:val="214"/>
        </w:trPr>
        <w:tc>
          <w:tcPr>
            <w:tcW w:w="2638"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02"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393"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87"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0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8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655"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公开04表</w:t>
            </w:r>
          </w:p>
        </w:tc>
      </w:tr>
      <w:tr w:rsidR="006A5F64" w:rsidRPr="006A5F64" w:rsidTr="006A5F64">
        <w:trPr>
          <w:trHeight w:val="244"/>
        </w:trPr>
        <w:tc>
          <w:tcPr>
            <w:tcW w:w="7920" w:type="dxa"/>
            <w:gridSpan w:val="4"/>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部门：农安县畜牧业管理局</w:t>
            </w:r>
          </w:p>
        </w:tc>
        <w:tc>
          <w:tcPr>
            <w:tcW w:w="705"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80"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655" w:type="dxa"/>
            <w:tcBorders>
              <w:top w:val="nil"/>
              <w:left w:val="nil"/>
              <w:bottom w:val="single" w:sz="12" w:space="0" w:color="000000"/>
              <w:right w:val="nil"/>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单位：万元</w:t>
            </w:r>
          </w:p>
        </w:tc>
      </w:tr>
      <w:tr w:rsidR="006A5F64" w:rsidRPr="006A5F64" w:rsidTr="006A5F64">
        <w:trPr>
          <w:trHeight w:val="301"/>
        </w:trPr>
        <w:tc>
          <w:tcPr>
            <w:tcW w:w="5633" w:type="dxa"/>
            <w:gridSpan w:val="3"/>
            <w:tcBorders>
              <w:top w:val="single" w:sz="12" w:space="0" w:color="000000"/>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收入</w:t>
            </w:r>
          </w:p>
        </w:tc>
        <w:tc>
          <w:tcPr>
            <w:tcW w:w="8602" w:type="dxa"/>
            <w:gridSpan w:val="5"/>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支出</w:t>
            </w:r>
          </w:p>
        </w:tc>
      </w:tr>
      <w:tr w:rsidR="006A5F64" w:rsidRPr="006A5F64" w:rsidTr="006A5F64">
        <w:trPr>
          <w:trHeight w:val="256"/>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项    目</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行次</w:t>
            </w:r>
          </w:p>
        </w:tc>
        <w:tc>
          <w:tcPr>
            <w:tcW w:w="2393" w:type="dxa"/>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金额</w:t>
            </w:r>
          </w:p>
        </w:tc>
        <w:tc>
          <w:tcPr>
            <w:tcW w:w="2287" w:type="dxa"/>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项    目</w:t>
            </w:r>
          </w:p>
        </w:tc>
        <w:tc>
          <w:tcPr>
            <w:tcW w:w="705" w:type="dxa"/>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行次</w:t>
            </w:r>
          </w:p>
        </w:tc>
        <w:tc>
          <w:tcPr>
            <w:tcW w:w="780" w:type="dxa"/>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合计</w:t>
            </w:r>
          </w:p>
        </w:tc>
        <w:tc>
          <w:tcPr>
            <w:tcW w:w="2175" w:type="dxa"/>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一般公共预算财政拨款</w:t>
            </w:r>
          </w:p>
        </w:tc>
        <w:tc>
          <w:tcPr>
            <w:tcW w:w="2655" w:type="dxa"/>
            <w:tcBorders>
              <w:top w:val="single" w:sz="8" w:space="0" w:color="000000"/>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政府性基金预算财政拨款</w:t>
            </w:r>
          </w:p>
        </w:tc>
      </w:tr>
      <w:tr w:rsidR="006A5F64" w:rsidRPr="006A5F64" w:rsidTr="006A5F64">
        <w:trPr>
          <w:trHeight w:val="264"/>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Cs w:val="21"/>
              </w:rPr>
              <w:t>栏    次</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Cs w:val="21"/>
              </w:rPr>
              <w:t>1</w:t>
            </w:r>
          </w:p>
        </w:tc>
        <w:tc>
          <w:tcPr>
            <w:tcW w:w="2287"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Cs w:val="21"/>
              </w:rPr>
              <w:t>栏    次</w:t>
            </w:r>
          </w:p>
        </w:tc>
        <w:tc>
          <w:tcPr>
            <w:tcW w:w="70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8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Cs w:val="21"/>
              </w:rPr>
              <w:t>2</w:t>
            </w:r>
          </w:p>
        </w:tc>
        <w:tc>
          <w:tcPr>
            <w:tcW w:w="217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3</w:t>
            </w:r>
          </w:p>
        </w:tc>
        <w:tc>
          <w:tcPr>
            <w:tcW w:w="265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Cs w:val="21"/>
              </w:rPr>
              <w:t>4</w:t>
            </w:r>
          </w:p>
        </w:tc>
      </w:tr>
      <w:tr w:rsidR="006A5F64" w:rsidRPr="006A5F64" w:rsidTr="006A5F64">
        <w:trPr>
          <w:trHeight w:val="234"/>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一、一般公共预算财政拨款</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9730.00</w:t>
            </w:r>
          </w:p>
        </w:tc>
        <w:tc>
          <w:tcPr>
            <w:tcW w:w="2287"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一、一般公共服务支出</w:t>
            </w:r>
          </w:p>
        </w:tc>
        <w:tc>
          <w:tcPr>
            <w:tcW w:w="70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15</w:t>
            </w:r>
          </w:p>
        </w:tc>
        <w:tc>
          <w:tcPr>
            <w:tcW w:w="780"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655"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41"/>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二、政府性基金预算财政拨款</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87"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二、外交支出</w:t>
            </w:r>
          </w:p>
        </w:tc>
        <w:tc>
          <w:tcPr>
            <w:tcW w:w="70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16</w:t>
            </w:r>
          </w:p>
        </w:tc>
        <w:tc>
          <w:tcPr>
            <w:tcW w:w="780"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655"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189"/>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189"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3</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87"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189"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八、社会保障和就业支出</w:t>
            </w:r>
          </w:p>
        </w:tc>
        <w:tc>
          <w:tcPr>
            <w:tcW w:w="70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189"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17</w:t>
            </w:r>
          </w:p>
        </w:tc>
        <w:tc>
          <w:tcPr>
            <w:tcW w:w="780" w:type="dxa"/>
            <w:tcBorders>
              <w:top w:val="nil"/>
              <w:left w:val="nil"/>
              <w:bottom w:val="single" w:sz="8" w:space="0" w:color="000000"/>
              <w:right w:val="nil"/>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nil"/>
            </w:tcBorders>
            <w:vAlign w:val="center"/>
            <w:hideMark/>
          </w:tcPr>
          <w:p w:rsidR="006A5F64" w:rsidRPr="006A5F64" w:rsidRDefault="006A5F64" w:rsidP="006A5F64">
            <w:pPr>
              <w:widowControl/>
              <w:spacing w:line="189"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643</w:t>
            </w:r>
          </w:p>
        </w:tc>
        <w:tc>
          <w:tcPr>
            <w:tcW w:w="2655"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04"/>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4</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87"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十二、农林水支出</w:t>
            </w:r>
          </w:p>
        </w:tc>
        <w:tc>
          <w:tcPr>
            <w:tcW w:w="70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18</w:t>
            </w:r>
          </w:p>
        </w:tc>
        <w:tc>
          <w:tcPr>
            <w:tcW w:w="780"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4073</w:t>
            </w:r>
          </w:p>
        </w:tc>
        <w:tc>
          <w:tcPr>
            <w:tcW w:w="2655"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41"/>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5</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87"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十九、住房保障支出</w:t>
            </w:r>
          </w:p>
        </w:tc>
        <w:tc>
          <w:tcPr>
            <w:tcW w:w="70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19</w:t>
            </w:r>
          </w:p>
        </w:tc>
        <w:tc>
          <w:tcPr>
            <w:tcW w:w="780"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103</w:t>
            </w:r>
          </w:p>
        </w:tc>
        <w:tc>
          <w:tcPr>
            <w:tcW w:w="2655"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189"/>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189"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6</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87"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189"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二十、粮油物资储备支出</w:t>
            </w:r>
          </w:p>
        </w:tc>
        <w:tc>
          <w:tcPr>
            <w:tcW w:w="70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189"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20</w:t>
            </w:r>
          </w:p>
        </w:tc>
        <w:tc>
          <w:tcPr>
            <w:tcW w:w="780" w:type="dxa"/>
            <w:tcBorders>
              <w:top w:val="nil"/>
              <w:left w:val="nil"/>
              <w:bottom w:val="single" w:sz="8" w:space="0" w:color="000000"/>
              <w:right w:val="nil"/>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nil"/>
            </w:tcBorders>
            <w:vAlign w:val="center"/>
            <w:hideMark/>
          </w:tcPr>
          <w:p w:rsidR="006A5F64" w:rsidRPr="006A5F64" w:rsidRDefault="006A5F64" w:rsidP="006A5F64">
            <w:pPr>
              <w:widowControl/>
              <w:spacing w:line="189"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501</w:t>
            </w:r>
          </w:p>
        </w:tc>
        <w:tc>
          <w:tcPr>
            <w:tcW w:w="2655"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41"/>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7</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87"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w:t>
            </w:r>
          </w:p>
        </w:tc>
        <w:tc>
          <w:tcPr>
            <w:tcW w:w="70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21</w:t>
            </w:r>
          </w:p>
        </w:tc>
        <w:tc>
          <w:tcPr>
            <w:tcW w:w="780"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655"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41"/>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8</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87"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0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22</w:t>
            </w:r>
          </w:p>
        </w:tc>
        <w:tc>
          <w:tcPr>
            <w:tcW w:w="780"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65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19"/>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b/>
                <w:bCs/>
                <w:color w:val="333333"/>
                <w:kern w:val="0"/>
                <w:sz w:val="16"/>
                <w:szCs w:val="16"/>
              </w:rPr>
              <w:t>本年收入合计</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9</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9730.00</w:t>
            </w:r>
          </w:p>
        </w:tc>
        <w:tc>
          <w:tcPr>
            <w:tcW w:w="2287" w:type="dxa"/>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b/>
                <w:bCs/>
                <w:color w:val="333333"/>
                <w:kern w:val="0"/>
                <w:sz w:val="16"/>
                <w:szCs w:val="16"/>
              </w:rPr>
              <w:t>本年支出合计</w:t>
            </w:r>
          </w:p>
        </w:tc>
        <w:tc>
          <w:tcPr>
            <w:tcW w:w="70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23</w:t>
            </w:r>
          </w:p>
        </w:tc>
        <w:tc>
          <w:tcPr>
            <w:tcW w:w="780"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5320</w:t>
            </w:r>
          </w:p>
        </w:tc>
        <w:tc>
          <w:tcPr>
            <w:tcW w:w="265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Times New Roman" w:eastAsia="宋体" w:hAnsi="Times New Roman" w:cs="Times New Roman"/>
                <w:b/>
                <w:bCs/>
                <w:color w:val="333333"/>
                <w:kern w:val="0"/>
                <w:szCs w:val="21"/>
              </w:rPr>
              <w:t> </w:t>
            </w:r>
          </w:p>
        </w:tc>
      </w:tr>
      <w:tr w:rsidR="006A5F64" w:rsidRPr="006A5F64" w:rsidTr="006A5F64">
        <w:trPr>
          <w:trHeight w:val="241"/>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年初财政拨款结转和结余</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10</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815.00</w:t>
            </w:r>
          </w:p>
        </w:tc>
        <w:tc>
          <w:tcPr>
            <w:tcW w:w="2287" w:type="dxa"/>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年末结转和结余</w:t>
            </w:r>
          </w:p>
        </w:tc>
        <w:tc>
          <w:tcPr>
            <w:tcW w:w="70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24</w:t>
            </w:r>
          </w:p>
        </w:tc>
        <w:tc>
          <w:tcPr>
            <w:tcW w:w="780"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5225</w:t>
            </w:r>
          </w:p>
        </w:tc>
        <w:tc>
          <w:tcPr>
            <w:tcW w:w="2655"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189"/>
        </w:trPr>
        <w:tc>
          <w:tcPr>
            <w:tcW w:w="2638"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189"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  一般公共预算财政拨款</w:t>
            </w:r>
          </w:p>
        </w:tc>
        <w:tc>
          <w:tcPr>
            <w:tcW w:w="60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189"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11</w:t>
            </w:r>
          </w:p>
        </w:tc>
        <w:tc>
          <w:tcPr>
            <w:tcW w:w="239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87" w:type="dxa"/>
            <w:tcBorders>
              <w:top w:val="nil"/>
              <w:left w:val="nil"/>
              <w:bottom w:val="single" w:sz="8" w:space="0" w:color="000000"/>
              <w:right w:val="nil"/>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0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189"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25</w:t>
            </w:r>
          </w:p>
        </w:tc>
        <w:tc>
          <w:tcPr>
            <w:tcW w:w="780" w:type="dxa"/>
            <w:tcBorders>
              <w:top w:val="nil"/>
              <w:left w:val="nil"/>
              <w:bottom w:val="single" w:sz="8" w:space="0" w:color="000000"/>
              <w:right w:val="nil"/>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65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189" w:lineRule="atLeast"/>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41"/>
        </w:trPr>
        <w:tc>
          <w:tcPr>
            <w:tcW w:w="2638" w:type="dxa"/>
            <w:tcBorders>
              <w:top w:val="nil"/>
              <w:left w:val="single" w:sz="12" w:space="0" w:color="000000"/>
              <w:bottom w:val="nil"/>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政府性基金预算财政拨款</w:t>
            </w:r>
          </w:p>
        </w:tc>
        <w:tc>
          <w:tcPr>
            <w:tcW w:w="602"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12</w:t>
            </w:r>
          </w:p>
        </w:tc>
        <w:tc>
          <w:tcPr>
            <w:tcW w:w="2393" w:type="dxa"/>
            <w:tcBorders>
              <w:top w:val="nil"/>
              <w:left w:val="nil"/>
              <w:bottom w:val="nil"/>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87"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0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26</w:t>
            </w:r>
          </w:p>
        </w:tc>
        <w:tc>
          <w:tcPr>
            <w:tcW w:w="78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655" w:type="dxa"/>
            <w:tcBorders>
              <w:top w:val="nil"/>
              <w:left w:val="nil"/>
              <w:bottom w:val="nil"/>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14"/>
        </w:trPr>
        <w:tc>
          <w:tcPr>
            <w:tcW w:w="2638" w:type="dxa"/>
            <w:tcBorders>
              <w:top w:val="single" w:sz="8" w:space="0" w:color="000000"/>
              <w:left w:val="single" w:sz="12" w:space="0" w:color="000000"/>
              <w:bottom w:val="nil"/>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02"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13</w:t>
            </w:r>
          </w:p>
        </w:tc>
        <w:tc>
          <w:tcPr>
            <w:tcW w:w="2393" w:type="dxa"/>
            <w:tcBorders>
              <w:top w:val="single" w:sz="8" w:space="0" w:color="000000"/>
              <w:left w:val="nil"/>
              <w:bottom w:val="nil"/>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87" w:type="dxa"/>
            <w:tcBorders>
              <w:top w:val="single" w:sz="8" w:space="0" w:color="000000"/>
              <w:left w:val="nil"/>
              <w:bottom w:val="nil"/>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0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27</w:t>
            </w:r>
          </w:p>
        </w:tc>
        <w:tc>
          <w:tcPr>
            <w:tcW w:w="780" w:type="dxa"/>
            <w:tcBorders>
              <w:top w:val="single" w:sz="8" w:space="0" w:color="000000"/>
              <w:left w:val="nil"/>
              <w:bottom w:val="nil"/>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655" w:type="dxa"/>
            <w:tcBorders>
              <w:top w:val="single" w:sz="8" w:space="0" w:color="000000"/>
              <w:left w:val="nil"/>
              <w:bottom w:val="nil"/>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14"/>
        </w:trPr>
        <w:tc>
          <w:tcPr>
            <w:tcW w:w="2638" w:type="dxa"/>
            <w:tcBorders>
              <w:top w:val="single" w:sz="8" w:space="0" w:color="000000"/>
              <w:left w:val="single" w:sz="12" w:space="0" w:color="000000"/>
              <w:bottom w:val="single" w:sz="12"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b/>
                <w:bCs/>
                <w:color w:val="333333"/>
                <w:kern w:val="0"/>
                <w:sz w:val="16"/>
                <w:szCs w:val="16"/>
              </w:rPr>
              <w:t>总计</w:t>
            </w:r>
          </w:p>
        </w:tc>
        <w:tc>
          <w:tcPr>
            <w:tcW w:w="602"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lastRenderedPageBreak/>
              <w:t>14</w:t>
            </w:r>
          </w:p>
        </w:tc>
        <w:tc>
          <w:tcPr>
            <w:tcW w:w="2393" w:type="dxa"/>
            <w:tcBorders>
              <w:top w:val="single" w:sz="8" w:space="0" w:color="000000"/>
              <w:left w:val="nil"/>
              <w:bottom w:val="single" w:sz="12"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宋体" w:eastAsia="宋体" w:hAnsi="宋体" w:cs="Times New Roman" w:hint="eastAsia"/>
                <w:color w:val="333333"/>
                <w:kern w:val="0"/>
                <w:sz w:val="16"/>
                <w:szCs w:val="16"/>
              </w:rPr>
              <w:t>10545.00</w:t>
            </w:r>
          </w:p>
        </w:tc>
        <w:tc>
          <w:tcPr>
            <w:tcW w:w="2287" w:type="dxa"/>
            <w:tcBorders>
              <w:top w:val="single" w:sz="8" w:space="0" w:color="000000"/>
              <w:left w:val="nil"/>
              <w:bottom w:val="single" w:sz="12"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b/>
                <w:bCs/>
                <w:color w:val="333333"/>
                <w:kern w:val="0"/>
                <w:sz w:val="16"/>
                <w:szCs w:val="16"/>
              </w:rPr>
              <w:t>总计</w:t>
            </w:r>
          </w:p>
        </w:tc>
        <w:tc>
          <w:tcPr>
            <w:tcW w:w="705" w:type="dxa"/>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28</w:t>
            </w:r>
          </w:p>
        </w:tc>
        <w:tc>
          <w:tcPr>
            <w:tcW w:w="780" w:type="dxa"/>
            <w:tcBorders>
              <w:top w:val="single" w:sz="8" w:space="0" w:color="000000"/>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75" w:type="dxa"/>
            <w:tcBorders>
              <w:top w:val="nil"/>
              <w:left w:val="single" w:sz="8" w:space="0" w:color="000000"/>
              <w:bottom w:val="single" w:sz="12"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10545</w:t>
            </w:r>
          </w:p>
        </w:tc>
        <w:tc>
          <w:tcPr>
            <w:tcW w:w="2655" w:type="dxa"/>
            <w:tcBorders>
              <w:top w:val="single" w:sz="8" w:space="0" w:color="000000"/>
              <w:left w:val="nil"/>
              <w:bottom w:val="single" w:sz="12" w:space="0" w:color="000000"/>
              <w:right w:val="single" w:sz="12" w:space="0" w:color="000000"/>
            </w:tcBorders>
            <w:vAlign w:val="center"/>
            <w:hideMark/>
          </w:tcPr>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Times New Roman" w:eastAsia="宋体" w:hAnsi="Times New Roman" w:cs="Times New Roman"/>
                <w:b/>
                <w:bCs/>
                <w:color w:val="333333"/>
                <w:kern w:val="0"/>
                <w:szCs w:val="21"/>
              </w:rPr>
              <w:t> </w:t>
            </w:r>
          </w:p>
        </w:tc>
      </w:tr>
      <w:tr w:rsidR="006A5F64" w:rsidRPr="006A5F64" w:rsidTr="006A5F64">
        <w:trPr>
          <w:trHeight w:val="271"/>
        </w:trPr>
        <w:tc>
          <w:tcPr>
            <w:tcW w:w="14235" w:type="dxa"/>
            <w:gridSpan w:val="8"/>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宋体" w:eastAsia="宋体" w:hAnsi="宋体" w:cs="Times New Roman" w:hint="eastAsia"/>
                <w:color w:val="333333"/>
                <w:kern w:val="0"/>
                <w:sz w:val="16"/>
                <w:szCs w:val="16"/>
              </w:rPr>
              <w:t>注：本表反映部门本年度一般公共预算财政拨款和政府性基金预算财政拨款的总收支和年末结转结余情况。</w:t>
            </w:r>
          </w:p>
        </w:tc>
      </w:tr>
    </w:tbl>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黑体" w:eastAsia="黑体" w:hAnsi="黑体" w:cs="Times New Roman" w:hint="eastAsia"/>
          <w:color w:val="333333"/>
          <w:kern w:val="0"/>
          <w:sz w:val="32"/>
          <w:szCs w:val="32"/>
        </w:rPr>
        <w:t>五、一般公共预算财政拨款支出决算表</w:t>
      </w:r>
    </w:p>
    <w:tbl>
      <w:tblPr>
        <w:tblW w:w="12940" w:type="dxa"/>
        <w:tblInd w:w="93" w:type="dxa"/>
        <w:tblCellMar>
          <w:top w:w="15" w:type="dxa"/>
          <w:left w:w="15" w:type="dxa"/>
          <w:bottom w:w="15" w:type="dxa"/>
          <w:right w:w="15" w:type="dxa"/>
        </w:tblCellMar>
        <w:tblLook w:val="04A0"/>
      </w:tblPr>
      <w:tblGrid>
        <w:gridCol w:w="553"/>
        <w:gridCol w:w="1077"/>
        <w:gridCol w:w="2676"/>
        <w:gridCol w:w="2110"/>
        <w:gridCol w:w="1706"/>
        <w:gridCol w:w="1662"/>
        <w:gridCol w:w="1704"/>
        <w:gridCol w:w="1452"/>
      </w:tblGrid>
      <w:tr w:rsidR="006A5F64" w:rsidRPr="006A5F64" w:rsidTr="006A5F64">
        <w:trPr>
          <w:trHeight w:val="330"/>
        </w:trPr>
        <w:tc>
          <w:tcPr>
            <w:tcW w:w="12940" w:type="dxa"/>
            <w:gridSpan w:val="8"/>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华文中宋" w:eastAsia="华文中宋" w:hAnsi="Times New Roman" w:cs="Times New Roman" w:hint="eastAsia"/>
                <w:color w:val="333333"/>
                <w:kern w:val="0"/>
                <w:sz w:val="32"/>
                <w:szCs w:val="32"/>
              </w:rPr>
              <w:t>一般公共预算财政拨款支出决算表</w:t>
            </w:r>
          </w:p>
        </w:tc>
      </w:tr>
      <w:tr w:rsidR="006A5F64" w:rsidRPr="006A5F64" w:rsidTr="006A5F64">
        <w:trPr>
          <w:trHeight w:val="211"/>
        </w:trPr>
        <w:tc>
          <w:tcPr>
            <w:tcW w:w="553"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77"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676"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110"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706"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662"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704"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452"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公开05表</w:t>
            </w:r>
          </w:p>
        </w:tc>
      </w:tr>
      <w:tr w:rsidR="006A5F64" w:rsidRPr="006A5F64" w:rsidTr="006A5F64">
        <w:trPr>
          <w:trHeight w:val="301"/>
        </w:trPr>
        <w:tc>
          <w:tcPr>
            <w:tcW w:w="6416" w:type="dxa"/>
            <w:gridSpan w:val="4"/>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部门：农安县畜牧业管理局</w:t>
            </w:r>
          </w:p>
        </w:tc>
        <w:tc>
          <w:tcPr>
            <w:tcW w:w="1706"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662" w:type="dxa"/>
            <w:tcBorders>
              <w:top w:val="nil"/>
              <w:left w:val="nil"/>
              <w:bottom w:val="single" w:sz="12" w:space="0" w:color="000000"/>
              <w:right w:val="nil"/>
            </w:tcBorders>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704" w:type="dxa"/>
            <w:tcBorders>
              <w:top w:val="nil"/>
              <w:left w:val="nil"/>
              <w:bottom w:val="single" w:sz="12" w:space="0" w:color="000000"/>
              <w:right w:val="nil"/>
            </w:tcBorders>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452"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单位：万元</w:t>
            </w:r>
          </w:p>
        </w:tc>
      </w:tr>
      <w:tr w:rsidR="006A5F64" w:rsidRPr="006A5F64" w:rsidTr="006A5F64">
        <w:trPr>
          <w:trHeight w:val="256"/>
        </w:trPr>
        <w:tc>
          <w:tcPr>
            <w:tcW w:w="4306" w:type="dxa"/>
            <w:gridSpan w:val="3"/>
            <w:tcBorders>
              <w:top w:val="single" w:sz="12" w:space="0" w:color="000000"/>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项    目</w:t>
            </w:r>
          </w:p>
        </w:tc>
        <w:tc>
          <w:tcPr>
            <w:tcW w:w="2110" w:type="dxa"/>
            <w:vMerge w:val="restart"/>
            <w:tcBorders>
              <w:top w:val="single" w:sz="12" w:space="0" w:color="000000"/>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本年支出合计</w:t>
            </w:r>
          </w:p>
        </w:tc>
        <w:tc>
          <w:tcPr>
            <w:tcW w:w="5072" w:type="dxa"/>
            <w:gridSpan w:val="3"/>
            <w:vMerge w:val="restart"/>
            <w:tcBorders>
              <w:top w:val="single" w:sz="12" w:space="0" w:color="000000"/>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基本支出  </w:t>
            </w:r>
          </w:p>
        </w:tc>
        <w:tc>
          <w:tcPr>
            <w:tcW w:w="1452" w:type="dxa"/>
            <w:vMerge w:val="restart"/>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项目支出</w:t>
            </w:r>
          </w:p>
        </w:tc>
      </w:tr>
      <w:tr w:rsidR="006A5F64" w:rsidRPr="006A5F64" w:rsidTr="006A5F64">
        <w:trPr>
          <w:trHeight w:val="480"/>
        </w:trPr>
        <w:tc>
          <w:tcPr>
            <w:tcW w:w="1630" w:type="dxa"/>
            <w:gridSpan w:val="2"/>
            <w:vMerge w:val="restart"/>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功能分类科目编码</w:t>
            </w:r>
          </w:p>
        </w:tc>
        <w:tc>
          <w:tcPr>
            <w:tcW w:w="2676" w:type="dxa"/>
            <w:vMerge w:val="restart"/>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科目名称</w:t>
            </w:r>
          </w:p>
        </w:tc>
        <w:tc>
          <w:tcPr>
            <w:tcW w:w="0" w:type="auto"/>
            <w:vMerge/>
            <w:tcBorders>
              <w:top w:val="single" w:sz="12" w:space="0" w:color="000000"/>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gridSpan w:val="3"/>
            <w:vMerge/>
            <w:tcBorders>
              <w:top w:val="single" w:sz="12" w:space="0" w:color="000000"/>
              <w:left w:val="single" w:sz="8"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312"/>
        </w:trPr>
        <w:tc>
          <w:tcPr>
            <w:tcW w:w="0" w:type="auto"/>
            <w:gridSpan w:val="2"/>
            <w:vMerge/>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1706" w:type="dxa"/>
            <w:vMerge w:val="restart"/>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合计</w:t>
            </w:r>
          </w:p>
        </w:tc>
        <w:tc>
          <w:tcPr>
            <w:tcW w:w="1662" w:type="dxa"/>
            <w:vMerge w:val="restart"/>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人员经费</w:t>
            </w:r>
          </w:p>
        </w:tc>
        <w:tc>
          <w:tcPr>
            <w:tcW w:w="1704" w:type="dxa"/>
            <w:vMerge w:val="restart"/>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公用经费</w:t>
            </w:r>
          </w:p>
        </w:tc>
        <w:tc>
          <w:tcPr>
            <w:tcW w:w="0" w:type="auto"/>
            <w:vMerge/>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312"/>
        </w:trPr>
        <w:tc>
          <w:tcPr>
            <w:tcW w:w="0" w:type="auto"/>
            <w:gridSpan w:val="2"/>
            <w:vMerge/>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256"/>
        </w:trPr>
        <w:tc>
          <w:tcPr>
            <w:tcW w:w="4306" w:type="dxa"/>
            <w:gridSpan w:val="3"/>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栏次</w:t>
            </w:r>
          </w:p>
        </w:tc>
        <w:tc>
          <w:tcPr>
            <w:tcW w:w="21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w:t>
            </w:r>
          </w:p>
        </w:tc>
        <w:tc>
          <w:tcPr>
            <w:tcW w:w="5072" w:type="dxa"/>
            <w:gridSpan w:val="3"/>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w:t>
            </w:r>
          </w:p>
        </w:tc>
        <w:tc>
          <w:tcPr>
            <w:tcW w:w="1452"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3</w:t>
            </w:r>
          </w:p>
        </w:tc>
      </w:tr>
      <w:tr w:rsidR="006A5F64" w:rsidRPr="006A5F64" w:rsidTr="006A5F64">
        <w:trPr>
          <w:trHeight w:val="256"/>
        </w:trPr>
        <w:tc>
          <w:tcPr>
            <w:tcW w:w="4306" w:type="dxa"/>
            <w:gridSpan w:val="3"/>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合计</w:t>
            </w:r>
          </w:p>
        </w:tc>
        <w:tc>
          <w:tcPr>
            <w:tcW w:w="21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5320.00</w:t>
            </w:r>
          </w:p>
        </w:tc>
        <w:tc>
          <w:tcPr>
            <w:tcW w:w="170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2344.00</w:t>
            </w:r>
          </w:p>
        </w:tc>
        <w:tc>
          <w:tcPr>
            <w:tcW w:w="1662" w:type="dxa"/>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2218.00</w:t>
            </w:r>
          </w:p>
        </w:tc>
        <w:tc>
          <w:tcPr>
            <w:tcW w:w="1704" w:type="dxa"/>
            <w:tcBorders>
              <w:top w:val="single" w:sz="8" w:space="0" w:color="000000"/>
              <w:left w:val="single" w:sz="8" w:space="0" w:color="000000"/>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126.00</w:t>
            </w:r>
          </w:p>
        </w:tc>
        <w:tc>
          <w:tcPr>
            <w:tcW w:w="1452" w:type="dxa"/>
            <w:tcBorders>
              <w:top w:val="single" w:sz="8" w:space="0" w:color="000000"/>
              <w:left w:val="single" w:sz="8" w:space="0" w:color="000000"/>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2976.00</w:t>
            </w:r>
          </w:p>
        </w:tc>
      </w:tr>
      <w:tr w:rsidR="006A5F64" w:rsidRPr="006A5F64" w:rsidTr="006A5F64">
        <w:trPr>
          <w:trHeight w:val="256"/>
        </w:trPr>
        <w:tc>
          <w:tcPr>
            <w:tcW w:w="163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2080501</w:t>
            </w:r>
          </w:p>
        </w:tc>
        <w:tc>
          <w:tcPr>
            <w:tcW w:w="267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归口管理的行政单位离退休</w:t>
            </w:r>
          </w:p>
        </w:tc>
        <w:tc>
          <w:tcPr>
            <w:tcW w:w="21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74.00</w:t>
            </w:r>
          </w:p>
        </w:tc>
        <w:tc>
          <w:tcPr>
            <w:tcW w:w="170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74.00</w:t>
            </w:r>
          </w:p>
        </w:tc>
        <w:tc>
          <w:tcPr>
            <w:tcW w:w="1662" w:type="dxa"/>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74.00</w:t>
            </w:r>
          </w:p>
        </w:tc>
        <w:tc>
          <w:tcPr>
            <w:tcW w:w="1704"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452" w:type="dxa"/>
            <w:tcBorders>
              <w:top w:val="single" w:sz="8" w:space="0" w:color="000000"/>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56"/>
        </w:trPr>
        <w:tc>
          <w:tcPr>
            <w:tcW w:w="163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2080502</w:t>
            </w:r>
          </w:p>
        </w:tc>
        <w:tc>
          <w:tcPr>
            <w:tcW w:w="267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事业单位离退休</w:t>
            </w:r>
          </w:p>
        </w:tc>
        <w:tc>
          <w:tcPr>
            <w:tcW w:w="21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569.00</w:t>
            </w:r>
          </w:p>
        </w:tc>
        <w:tc>
          <w:tcPr>
            <w:tcW w:w="170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569.00</w:t>
            </w:r>
          </w:p>
        </w:tc>
        <w:tc>
          <w:tcPr>
            <w:tcW w:w="1662" w:type="dxa"/>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569.00</w:t>
            </w:r>
          </w:p>
        </w:tc>
        <w:tc>
          <w:tcPr>
            <w:tcW w:w="1704"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452"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56"/>
        </w:trPr>
        <w:tc>
          <w:tcPr>
            <w:tcW w:w="163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2130101</w:t>
            </w:r>
          </w:p>
        </w:tc>
        <w:tc>
          <w:tcPr>
            <w:tcW w:w="267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行政运行</w:t>
            </w:r>
          </w:p>
        </w:tc>
        <w:tc>
          <w:tcPr>
            <w:tcW w:w="21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69.00</w:t>
            </w:r>
          </w:p>
        </w:tc>
        <w:tc>
          <w:tcPr>
            <w:tcW w:w="170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69.00</w:t>
            </w:r>
          </w:p>
        </w:tc>
        <w:tc>
          <w:tcPr>
            <w:tcW w:w="1662" w:type="dxa"/>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57.00</w:t>
            </w:r>
          </w:p>
        </w:tc>
        <w:tc>
          <w:tcPr>
            <w:tcW w:w="1704" w:type="dxa"/>
            <w:tcBorders>
              <w:top w:val="nil"/>
              <w:left w:val="single" w:sz="8" w:space="0" w:color="000000"/>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12.00</w:t>
            </w:r>
          </w:p>
        </w:tc>
        <w:tc>
          <w:tcPr>
            <w:tcW w:w="1452"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56"/>
        </w:trPr>
        <w:tc>
          <w:tcPr>
            <w:tcW w:w="163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2130104</w:t>
            </w:r>
          </w:p>
        </w:tc>
        <w:tc>
          <w:tcPr>
            <w:tcW w:w="267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事业运行</w:t>
            </w:r>
          </w:p>
        </w:tc>
        <w:tc>
          <w:tcPr>
            <w:tcW w:w="21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1529.00</w:t>
            </w:r>
          </w:p>
        </w:tc>
        <w:tc>
          <w:tcPr>
            <w:tcW w:w="170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1529.00</w:t>
            </w:r>
          </w:p>
        </w:tc>
        <w:tc>
          <w:tcPr>
            <w:tcW w:w="1662" w:type="dxa"/>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1415.00</w:t>
            </w:r>
          </w:p>
        </w:tc>
        <w:tc>
          <w:tcPr>
            <w:tcW w:w="1704" w:type="dxa"/>
            <w:tcBorders>
              <w:top w:val="nil"/>
              <w:left w:val="single" w:sz="8" w:space="0" w:color="000000"/>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114.00</w:t>
            </w:r>
          </w:p>
        </w:tc>
        <w:tc>
          <w:tcPr>
            <w:tcW w:w="1452"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56"/>
        </w:trPr>
        <w:tc>
          <w:tcPr>
            <w:tcW w:w="163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2130108</w:t>
            </w:r>
          </w:p>
        </w:tc>
        <w:tc>
          <w:tcPr>
            <w:tcW w:w="267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病虫害控制</w:t>
            </w:r>
          </w:p>
        </w:tc>
        <w:tc>
          <w:tcPr>
            <w:tcW w:w="21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937.00</w:t>
            </w:r>
          </w:p>
        </w:tc>
        <w:tc>
          <w:tcPr>
            <w:tcW w:w="1706"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662"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704"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452"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937.00</w:t>
            </w:r>
          </w:p>
        </w:tc>
      </w:tr>
      <w:tr w:rsidR="006A5F64" w:rsidRPr="006A5F64" w:rsidTr="006A5F64">
        <w:trPr>
          <w:trHeight w:val="256"/>
        </w:trPr>
        <w:tc>
          <w:tcPr>
            <w:tcW w:w="163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2130122</w:t>
            </w:r>
          </w:p>
        </w:tc>
        <w:tc>
          <w:tcPr>
            <w:tcW w:w="267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农业生产支持补贴</w:t>
            </w:r>
          </w:p>
        </w:tc>
        <w:tc>
          <w:tcPr>
            <w:tcW w:w="21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862.00</w:t>
            </w:r>
          </w:p>
        </w:tc>
        <w:tc>
          <w:tcPr>
            <w:tcW w:w="1706"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662"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704"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452"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862.00</w:t>
            </w:r>
          </w:p>
        </w:tc>
      </w:tr>
      <w:tr w:rsidR="006A5F64" w:rsidRPr="006A5F64" w:rsidTr="006A5F64">
        <w:trPr>
          <w:trHeight w:val="256"/>
        </w:trPr>
        <w:tc>
          <w:tcPr>
            <w:tcW w:w="1630"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2130199</w:t>
            </w:r>
          </w:p>
        </w:tc>
        <w:tc>
          <w:tcPr>
            <w:tcW w:w="267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其他农业支出</w:t>
            </w:r>
          </w:p>
        </w:tc>
        <w:tc>
          <w:tcPr>
            <w:tcW w:w="21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676.00</w:t>
            </w:r>
          </w:p>
        </w:tc>
        <w:tc>
          <w:tcPr>
            <w:tcW w:w="1706"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662"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704"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452"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676.00</w:t>
            </w:r>
          </w:p>
        </w:tc>
      </w:tr>
      <w:tr w:rsidR="006A5F64" w:rsidRPr="006A5F64" w:rsidTr="006A5F64">
        <w:trPr>
          <w:trHeight w:val="256"/>
        </w:trPr>
        <w:tc>
          <w:tcPr>
            <w:tcW w:w="1630" w:type="dxa"/>
            <w:gridSpan w:val="2"/>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2210201</w:t>
            </w:r>
          </w:p>
        </w:tc>
        <w:tc>
          <w:tcPr>
            <w:tcW w:w="267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住房公积金</w:t>
            </w:r>
          </w:p>
        </w:tc>
        <w:tc>
          <w:tcPr>
            <w:tcW w:w="21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103.00</w:t>
            </w:r>
          </w:p>
        </w:tc>
        <w:tc>
          <w:tcPr>
            <w:tcW w:w="170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103.00</w:t>
            </w:r>
          </w:p>
        </w:tc>
        <w:tc>
          <w:tcPr>
            <w:tcW w:w="166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103.00</w:t>
            </w:r>
          </w:p>
        </w:tc>
        <w:tc>
          <w:tcPr>
            <w:tcW w:w="170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452"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256"/>
        </w:trPr>
        <w:tc>
          <w:tcPr>
            <w:tcW w:w="1630" w:type="dxa"/>
            <w:gridSpan w:val="2"/>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2220199</w:t>
            </w:r>
          </w:p>
        </w:tc>
        <w:tc>
          <w:tcPr>
            <w:tcW w:w="267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其他粮油事务支出</w:t>
            </w:r>
          </w:p>
        </w:tc>
        <w:tc>
          <w:tcPr>
            <w:tcW w:w="21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501.00</w:t>
            </w:r>
          </w:p>
        </w:tc>
        <w:tc>
          <w:tcPr>
            <w:tcW w:w="1706"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662"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70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452"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501.00</w:t>
            </w:r>
          </w:p>
        </w:tc>
      </w:tr>
      <w:tr w:rsidR="006A5F64" w:rsidRPr="006A5F64" w:rsidTr="006A5F64">
        <w:trPr>
          <w:trHeight w:val="301"/>
        </w:trPr>
        <w:tc>
          <w:tcPr>
            <w:tcW w:w="12940" w:type="dxa"/>
            <w:gridSpan w:val="8"/>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16"/>
                <w:szCs w:val="16"/>
              </w:rPr>
              <w:t>注：本表反映部门本年度一般公共预算财政拨款实际支出情况。</w:t>
            </w:r>
          </w:p>
        </w:tc>
      </w:tr>
    </w:tbl>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黑体" w:eastAsia="黑体" w:hAnsi="黑体" w:cs="Times New Roman" w:hint="eastAsia"/>
          <w:color w:val="333333"/>
          <w:kern w:val="0"/>
          <w:sz w:val="32"/>
          <w:szCs w:val="32"/>
        </w:rPr>
        <w:t>六、一般公共预算财政拨款基本支出决算表</w:t>
      </w:r>
    </w:p>
    <w:tbl>
      <w:tblPr>
        <w:tblW w:w="13029" w:type="dxa"/>
        <w:tblInd w:w="93" w:type="dxa"/>
        <w:tblCellMar>
          <w:top w:w="15" w:type="dxa"/>
          <w:left w:w="15" w:type="dxa"/>
          <w:bottom w:w="15" w:type="dxa"/>
          <w:right w:w="15" w:type="dxa"/>
        </w:tblCellMar>
        <w:tblLook w:val="04A0"/>
      </w:tblPr>
      <w:tblGrid>
        <w:gridCol w:w="674"/>
        <w:gridCol w:w="2225"/>
        <w:gridCol w:w="790"/>
        <w:gridCol w:w="344"/>
        <w:gridCol w:w="645"/>
        <w:gridCol w:w="674"/>
        <w:gridCol w:w="2400"/>
        <w:gridCol w:w="1154"/>
        <w:gridCol w:w="674"/>
        <w:gridCol w:w="2520"/>
        <w:gridCol w:w="929"/>
      </w:tblGrid>
      <w:tr w:rsidR="006A5F64" w:rsidRPr="006A5F64" w:rsidTr="006A5F64">
        <w:trPr>
          <w:trHeight w:val="480"/>
        </w:trPr>
        <w:tc>
          <w:tcPr>
            <w:tcW w:w="13029" w:type="dxa"/>
            <w:gridSpan w:val="11"/>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华文中宋" w:eastAsia="华文中宋" w:hAnsi="Times New Roman" w:cs="Times New Roman" w:hint="eastAsia"/>
                <w:color w:val="333333"/>
                <w:kern w:val="0"/>
                <w:sz w:val="32"/>
                <w:szCs w:val="32"/>
              </w:rPr>
              <w:t>一般公共预算财政拨款基本支出决算表</w:t>
            </w:r>
          </w:p>
        </w:tc>
      </w:tr>
      <w:tr w:rsidR="006A5F64" w:rsidRPr="006A5F64" w:rsidTr="006A5F64">
        <w:trPr>
          <w:trHeight w:val="211"/>
        </w:trPr>
        <w:tc>
          <w:tcPr>
            <w:tcW w:w="674"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3015" w:type="dxa"/>
            <w:gridSpan w:val="2"/>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89" w:type="dxa"/>
            <w:gridSpan w:val="2"/>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400"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54"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520"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29"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公开06表</w:t>
            </w:r>
          </w:p>
        </w:tc>
      </w:tr>
      <w:tr w:rsidR="006A5F64" w:rsidRPr="006A5F64" w:rsidTr="006A5F64">
        <w:trPr>
          <w:trHeight w:val="301"/>
        </w:trPr>
        <w:tc>
          <w:tcPr>
            <w:tcW w:w="7752" w:type="dxa"/>
            <w:gridSpan w:val="7"/>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宋体" w:eastAsia="宋体" w:hAnsi="宋体" w:cs="Times New Roman" w:hint="eastAsia"/>
                <w:color w:val="333333"/>
                <w:kern w:val="0"/>
                <w:sz w:val="20"/>
                <w:szCs w:val="20"/>
              </w:rPr>
              <w:t>部门：农安县畜牧业管理局</w:t>
            </w:r>
          </w:p>
        </w:tc>
        <w:tc>
          <w:tcPr>
            <w:tcW w:w="1154"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520"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29"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单位：万元</w:t>
            </w:r>
          </w:p>
        </w:tc>
      </w:tr>
      <w:tr w:rsidR="006A5F64" w:rsidRPr="006A5F64" w:rsidTr="006A5F64">
        <w:trPr>
          <w:trHeight w:val="301"/>
        </w:trPr>
        <w:tc>
          <w:tcPr>
            <w:tcW w:w="4033" w:type="dxa"/>
            <w:gridSpan w:val="4"/>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人员经费</w:t>
            </w:r>
          </w:p>
        </w:tc>
        <w:tc>
          <w:tcPr>
            <w:tcW w:w="8996" w:type="dxa"/>
            <w:gridSpan w:val="7"/>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公用经费</w:t>
            </w:r>
          </w:p>
        </w:tc>
      </w:tr>
      <w:tr w:rsidR="006A5F64" w:rsidRPr="006A5F64" w:rsidTr="006A5F64">
        <w:trPr>
          <w:trHeight w:val="480"/>
        </w:trPr>
        <w:tc>
          <w:tcPr>
            <w:tcW w:w="674" w:type="dxa"/>
            <w:vMerge w:val="restart"/>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科目 </w:t>
            </w:r>
          </w:p>
          <w:p w:rsidR="006A5F64" w:rsidRPr="006A5F64" w:rsidRDefault="006A5F64" w:rsidP="006A5F64">
            <w:pPr>
              <w:widowControl/>
              <w:spacing w:line="480" w:lineRule="atLeast"/>
              <w:jc w:val="lef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编码</w:t>
            </w:r>
          </w:p>
        </w:tc>
        <w:tc>
          <w:tcPr>
            <w:tcW w:w="2225" w:type="dxa"/>
            <w:vMerge w:val="restart"/>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科目名称</w:t>
            </w:r>
          </w:p>
        </w:tc>
        <w:tc>
          <w:tcPr>
            <w:tcW w:w="1134" w:type="dxa"/>
            <w:gridSpan w:val="2"/>
            <w:vMerge w:val="restart"/>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金额</w:t>
            </w:r>
          </w:p>
        </w:tc>
        <w:tc>
          <w:tcPr>
            <w:tcW w:w="1319" w:type="dxa"/>
            <w:gridSpan w:val="2"/>
            <w:vMerge w:val="restart"/>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科目 </w:t>
            </w:r>
          </w:p>
          <w:p w:rsidR="006A5F64" w:rsidRPr="006A5F64" w:rsidRDefault="006A5F64" w:rsidP="006A5F64">
            <w:pPr>
              <w:widowControl/>
              <w:spacing w:line="480" w:lineRule="atLeast"/>
              <w:jc w:val="lef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编码</w:t>
            </w:r>
          </w:p>
        </w:tc>
        <w:tc>
          <w:tcPr>
            <w:tcW w:w="2400" w:type="dxa"/>
            <w:vMerge w:val="restart"/>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科目名称</w:t>
            </w:r>
          </w:p>
        </w:tc>
        <w:tc>
          <w:tcPr>
            <w:tcW w:w="1154" w:type="dxa"/>
            <w:vMerge w:val="restart"/>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金额</w:t>
            </w:r>
          </w:p>
        </w:tc>
        <w:tc>
          <w:tcPr>
            <w:tcW w:w="674" w:type="dxa"/>
            <w:vMerge w:val="restart"/>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科目 </w:t>
            </w:r>
          </w:p>
          <w:p w:rsidR="006A5F64" w:rsidRPr="006A5F64" w:rsidRDefault="006A5F64" w:rsidP="006A5F64">
            <w:pPr>
              <w:widowControl/>
              <w:spacing w:line="480" w:lineRule="atLeast"/>
              <w:jc w:val="lef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编码</w:t>
            </w:r>
          </w:p>
        </w:tc>
        <w:tc>
          <w:tcPr>
            <w:tcW w:w="2520" w:type="dxa"/>
            <w:vMerge w:val="restart"/>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科目名称</w:t>
            </w:r>
          </w:p>
        </w:tc>
        <w:tc>
          <w:tcPr>
            <w:tcW w:w="929" w:type="dxa"/>
            <w:vMerge w:val="restart"/>
            <w:tcBorders>
              <w:top w:val="single" w:sz="8" w:space="0" w:color="000000"/>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金额</w:t>
            </w:r>
          </w:p>
        </w:tc>
      </w:tr>
      <w:tr w:rsidR="006A5F64" w:rsidRPr="006A5F64" w:rsidTr="006A5F64">
        <w:trPr>
          <w:trHeight w:val="312"/>
        </w:trPr>
        <w:tc>
          <w:tcPr>
            <w:tcW w:w="0" w:type="auto"/>
            <w:vMerge/>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2225" w:type="dxa"/>
            <w:vMerge/>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1134" w:type="dxa"/>
            <w:gridSpan w:val="2"/>
            <w:vMerge/>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1319" w:type="dxa"/>
            <w:gridSpan w:val="2"/>
            <w:vMerge/>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8"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301</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工资福利支出</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1,470.00</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商品和服务支出</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142.00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其他资本性支出</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30101</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基本工资</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787.00</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30201</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办公费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6.00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31001</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房屋建筑物购建</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30102</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津贴补贴</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524.00</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30202</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印刷费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31002</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办公设备购置</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30103</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奖金</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3.00</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30203</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咨询费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31003</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专用设备购置</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30104</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其他社会保障缴费</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116.00</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30204</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手续费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1.00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31005</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基础设施建设</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30106</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伙食补助费</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30205</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水费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1.00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31006</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大型修缮</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30107</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绩效工资</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40.00</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30206</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电费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3.00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31007</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信息网络及软件购置更新</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30108</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机关事业单位基本养老保险缴费</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30207</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邮电费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4.00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31008</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物资储备</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30109</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职业年金缴费</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30208</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取暖费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6.00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31009</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土地补偿</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30199</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其他工资福利支出</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30209</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物业管理费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31010</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安置补助</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lastRenderedPageBreak/>
              <w:t>303</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宋体" w:eastAsia="宋体" w:hAnsi="宋体" w:cs="Times New Roman" w:hint="eastAsia"/>
                <w:color w:val="333333"/>
                <w:kern w:val="0"/>
                <w:sz w:val="20"/>
                <w:szCs w:val="20"/>
              </w:rPr>
              <w:t>对个人和家庭的补</w:t>
            </w:r>
            <w:r w:rsidRPr="006A5F64">
              <w:rPr>
                <w:rFonts w:ascii="宋体" w:eastAsia="宋体" w:hAnsi="宋体" w:cs="Times New Roman" w:hint="eastAsia"/>
                <w:color w:val="333333"/>
                <w:kern w:val="0"/>
                <w:sz w:val="20"/>
                <w:szCs w:val="20"/>
              </w:rPr>
              <w:lastRenderedPageBreak/>
              <w:t>助</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Arial" w:eastAsia="宋体" w:hAnsi="Arial" w:cs="Arial"/>
                <w:color w:val="333333"/>
                <w:kern w:val="0"/>
                <w:sz w:val="20"/>
                <w:szCs w:val="20"/>
              </w:rPr>
              <w:t>747.00</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30211</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差旅费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1.00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lastRenderedPageBreak/>
              <w:t>31011</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宋体" w:eastAsia="宋体" w:hAnsi="宋体" w:cs="Times New Roman" w:hint="eastAsia"/>
                <w:color w:val="333333"/>
                <w:kern w:val="0"/>
                <w:sz w:val="20"/>
                <w:szCs w:val="20"/>
              </w:rPr>
              <w:t>  地上附着物和青苗</w:t>
            </w:r>
            <w:r w:rsidRPr="006A5F64">
              <w:rPr>
                <w:rFonts w:ascii="宋体" w:eastAsia="宋体" w:hAnsi="宋体" w:cs="Times New Roman" w:hint="eastAsia"/>
                <w:color w:val="333333"/>
                <w:kern w:val="0"/>
                <w:sz w:val="20"/>
                <w:szCs w:val="20"/>
              </w:rPr>
              <w:lastRenderedPageBreak/>
              <w:t>补偿</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lastRenderedPageBreak/>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宋体" w:eastAsia="宋体" w:hAnsi="宋体" w:cs="Times New Roman" w:hint="eastAsia"/>
                <w:color w:val="333333"/>
                <w:kern w:val="0"/>
                <w:sz w:val="20"/>
                <w:szCs w:val="20"/>
              </w:rPr>
              <w:t>30301</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离休费</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30212</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因公出国（境）费用</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31012</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拆迁补偿</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30302</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退休费</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380.00</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30213</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维修(护)费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9.00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31013</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公务用车购置</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30303</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退职（役）费</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30214</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租赁费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31019</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其他交通工具购置</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30304</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抚恤金</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9.00</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30215</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会议费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31020</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产权参股</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30305</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生活补助</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255.00</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30216</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培训费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31099</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其他资本性支出</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30306</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救济费</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30217</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公务接待费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304</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对企事业单位的补贴</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30307</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医疗费</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30218</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专用材料费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72.00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30401</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企业政策性补贴</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30308</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助学金</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30224</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被装购置费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30402</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事业单位补贴</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30309</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奖励金</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30225</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专用燃料费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30403</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财政贴息</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30310</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生产补贴</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30226</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劳务费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5.00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30499</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其他对企事业单位的补贴</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30311</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住房公积金</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103.00</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30227</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委托业务费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307</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债务利息支出</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30312</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提租补贴</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30228</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工会经费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30701</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国内债务付息</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30313</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购房补贴</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30229</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福利费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30707</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国外债务付息</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宋体" w:eastAsia="宋体" w:hAnsi="宋体" w:cs="Times New Roman" w:hint="eastAsia"/>
                <w:color w:val="333333"/>
                <w:kern w:val="0"/>
                <w:sz w:val="20"/>
                <w:szCs w:val="20"/>
              </w:rPr>
              <w:t>30314</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采暖补贴</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30231</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公务用车运行维护费</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18.00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399</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其他支出</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30315</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物业服务补贴</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30239</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其他交通费用</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8.00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39906</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赠与</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30399</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其他对个人和家庭的补助支出</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30240</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税金及附加费用</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674"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22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34"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19" w:type="dxa"/>
            <w:gridSpan w:val="2"/>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30299</w:t>
            </w:r>
          </w:p>
        </w:tc>
        <w:tc>
          <w:tcPr>
            <w:tcW w:w="240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  其他商品和服务支出</w:t>
            </w:r>
          </w:p>
        </w:tc>
        <w:tc>
          <w:tcPr>
            <w:tcW w:w="115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8.00</w:t>
            </w:r>
          </w:p>
        </w:tc>
        <w:tc>
          <w:tcPr>
            <w:tcW w:w="674"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252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29" w:type="dxa"/>
            <w:tcBorders>
              <w:top w:val="nil"/>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01"/>
        </w:trPr>
        <w:tc>
          <w:tcPr>
            <w:tcW w:w="2899" w:type="dxa"/>
            <w:gridSpan w:val="2"/>
            <w:tcBorders>
              <w:top w:val="nil"/>
              <w:left w:val="single" w:sz="12" w:space="0" w:color="000000"/>
              <w:bottom w:val="single" w:sz="12"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人员经费合计</w:t>
            </w:r>
          </w:p>
        </w:tc>
        <w:tc>
          <w:tcPr>
            <w:tcW w:w="1134" w:type="dxa"/>
            <w:gridSpan w:val="2"/>
            <w:tcBorders>
              <w:top w:val="nil"/>
              <w:left w:val="nil"/>
              <w:bottom w:val="single" w:sz="12" w:space="0" w:color="000000"/>
              <w:right w:val="single" w:sz="8"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2,217.00</w:t>
            </w:r>
          </w:p>
        </w:tc>
        <w:tc>
          <w:tcPr>
            <w:tcW w:w="8067" w:type="dxa"/>
            <w:gridSpan w:val="6"/>
            <w:tcBorders>
              <w:top w:val="nil"/>
              <w:left w:val="nil"/>
              <w:bottom w:val="single" w:sz="12"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公用经费合计</w:t>
            </w:r>
          </w:p>
        </w:tc>
        <w:tc>
          <w:tcPr>
            <w:tcW w:w="929" w:type="dxa"/>
            <w:tcBorders>
              <w:top w:val="nil"/>
              <w:left w:val="nil"/>
              <w:bottom w:val="single" w:sz="12" w:space="0" w:color="000000"/>
              <w:right w:val="single" w:sz="12" w:space="0" w:color="000000"/>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Arial" w:eastAsia="宋体" w:hAnsi="Arial" w:cs="Arial"/>
                <w:color w:val="333333"/>
                <w:kern w:val="0"/>
                <w:sz w:val="20"/>
                <w:szCs w:val="20"/>
              </w:rPr>
              <w:t>142.00</w:t>
            </w:r>
          </w:p>
        </w:tc>
      </w:tr>
      <w:tr w:rsidR="006A5F64" w:rsidRPr="006A5F64" w:rsidTr="006A5F64">
        <w:trPr>
          <w:trHeight w:val="375"/>
        </w:trPr>
        <w:tc>
          <w:tcPr>
            <w:tcW w:w="8906" w:type="dxa"/>
            <w:gridSpan w:val="8"/>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注：本表反映部门本年度一般公共预算财政拨款基本支出明细情况。</w:t>
            </w:r>
          </w:p>
        </w:tc>
        <w:tc>
          <w:tcPr>
            <w:tcW w:w="4123" w:type="dxa"/>
            <w:gridSpan w:val="3"/>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bl>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黑体" w:eastAsia="黑体" w:hAnsi="黑体" w:cs="Times New Roman" w:hint="eastAsia"/>
          <w:color w:val="333333"/>
          <w:kern w:val="0"/>
          <w:sz w:val="32"/>
          <w:szCs w:val="32"/>
        </w:rPr>
        <w:t>七、一般公共预算财政拨款“三公”经费支出决算表</w:t>
      </w:r>
    </w:p>
    <w:tbl>
      <w:tblPr>
        <w:tblW w:w="12364" w:type="dxa"/>
        <w:tblInd w:w="93" w:type="dxa"/>
        <w:tblCellMar>
          <w:top w:w="15" w:type="dxa"/>
          <w:left w:w="15" w:type="dxa"/>
          <w:bottom w:w="15" w:type="dxa"/>
          <w:right w:w="15" w:type="dxa"/>
        </w:tblCellMar>
        <w:tblLook w:val="04A0"/>
      </w:tblPr>
      <w:tblGrid>
        <w:gridCol w:w="805"/>
        <w:gridCol w:w="1210"/>
        <w:gridCol w:w="1073"/>
        <w:gridCol w:w="1028"/>
        <w:gridCol w:w="1074"/>
        <w:gridCol w:w="804"/>
        <w:gridCol w:w="671"/>
        <w:gridCol w:w="1061"/>
        <w:gridCol w:w="716"/>
        <w:gridCol w:w="998"/>
        <w:gridCol w:w="1379"/>
        <w:gridCol w:w="1545"/>
      </w:tblGrid>
      <w:tr w:rsidR="006A5F64" w:rsidRPr="006A5F64" w:rsidTr="006A5F64">
        <w:trPr>
          <w:trHeight w:val="330"/>
        </w:trPr>
        <w:tc>
          <w:tcPr>
            <w:tcW w:w="12364" w:type="dxa"/>
            <w:gridSpan w:val="12"/>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华文中宋" w:eastAsia="华文中宋" w:hAnsi="Times New Roman" w:cs="Times New Roman" w:hint="eastAsia"/>
                <w:color w:val="333333"/>
                <w:kern w:val="0"/>
                <w:sz w:val="32"/>
                <w:szCs w:val="32"/>
              </w:rPr>
              <w:t>一般公共预算财政拨款“三公”经费支出决算表</w:t>
            </w:r>
          </w:p>
        </w:tc>
      </w:tr>
      <w:tr w:rsidR="006A5F64" w:rsidRPr="006A5F64" w:rsidTr="006A5F64">
        <w:trPr>
          <w:trHeight w:val="211"/>
        </w:trPr>
        <w:tc>
          <w:tcPr>
            <w:tcW w:w="805"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210"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73"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28"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74"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804"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1"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1"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16"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8"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79"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545"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公开07表</w:t>
            </w:r>
          </w:p>
        </w:tc>
      </w:tr>
      <w:tr w:rsidR="006A5F64" w:rsidRPr="006A5F64" w:rsidTr="006A5F64">
        <w:trPr>
          <w:trHeight w:val="301"/>
        </w:trPr>
        <w:tc>
          <w:tcPr>
            <w:tcW w:w="5994" w:type="dxa"/>
            <w:gridSpan w:val="6"/>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部门：农安县畜牧业管理局</w:t>
            </w:r>
          </w:p>
        </w:tc>
        <w:tc>
          <w:tcPr>
            <w:tcW w:w="671"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1"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16"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8"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79"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545" w:type="dxa"/>
            <w:tcBorders>
              <w:top w:val="nil"/>
              <w:left w:val="nil"/>
              <w:bottom w:val="single" w:sz="12" w:space="0" w:color="000000"/>
              <w:right w:val="nil"/>
            </w:tcBorders>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单位：万元</w:t>
            </w:r>
          </w:p>
        </w:tc>
      </w:tr>
      <w:tr w:rsidR="006A5F64" w:rsidRPr="006A5F64" w:rsidTr="006A5F64">
        <w:trPr>
          <w:trHeight w:val="555"/>
        </w:trPr>
        <w:tc>
          <w:tcPr>
            <w:tcW w:w="5994" w:type="dxa"/>
            <w:gridSpan w:val="6"/>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预算数</w:t>
            </w:r>
          </w:p>
        </w:tc>
        <w:tc>
          <w:tcPr>
            <w:tcW w:w="6370" w:type="dxa"/>
            <w:gridSpan w:val="6"/>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决算数</w:t>
            </w:r>
          </w:p>
        </w:tc>
      </w:tr>
      <w:tr w:rsidR="006A5F64" w:rsidRPr="006A5F64" w:rsidTr="006A5F64">
        <w:trPr>
          <w:trHeight w:val="600"/>
        </w:trPr>
        <w:tc>
          <w:tcPr>
            <w:tcW w:w="805" w:type="dxa"/>
            <w:vMerge w:val="restart"/>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合计</w:t>
            </w:r>
          </w:p>
        </w:tc>
        <w:tc>
          <w:tcPr>
            <w:tcW w:w="1210" w:type="dxa"/>
            <w:vMerge w:val="restart"/>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因公出国（境）费</w:t>
            </w:r>
          </w:p>
        </w:tc>
        <w:tc>
          <w:tcPr>
            <w:tcW w:w="3175" w:type="dxa"/>
            <w:gridSpan w:val="3"/>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公务用车购置及运行费</w:t>
            </w:r>
          </w:p>
        </w:tc>
        <w:tc>
          <w:tcPr>
            <w:tcW w:w="804" w:type="dxa"/>
            <w:vMerge w:val="restart"/>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公务接待费</w:t>
            </w:r>
          </w:p>
        </w:tc>
        <w:tc>
          <w:tcPr>
            <w:tcW w:w="671" w:type="dxa"/>
            <w:vMerge w:val="restart"/>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合计</w:t>
            </w:r>
          </w:p>
        </w:tc>
        <w:tc>
          <w:tcPr>
            <w:tcW w:w="1061" w:type="dxa"/>
            <w:vMerge w:val="restart"/>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因公出国（境）费</w:t>
            </w:r>
          </w:p>
        </w:tc>
        <w:tc>
          <w:tcPr>
            <w:tcW w:w="3093" w:type="dxa"/>
            <w:gridSpan w:val="3"/>
            <w:tcBorders>
              <w:top w:val="single" w:sz="8" w:space="0" w:color="000000"/>
              <w:left w:val="nil"/>
              <w:bottom w:val="nil"/>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公务用车购置及运行费</w:t>
            </w:r>
          </w:p>
        </w:tc>
        <w:tc>
          <w:tcPr>
            <w:tcW w:w="1545" w:type="dxa"/>
            <w:vMerge w:val="restart"/>
            <w:tcBorders>
              <w:top w:val="single" w:sz="8" w:space="0" w:color="000000"/>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公务接待费</w:t>
            </w:r>
          </w:p>
        </w:tc>
      </w:tr>
      <w:tr w:rsidR="006A5F64" w:rsidRPr="006A5F64" w:rsidTr="006A5F64">
        <w:trPr>
          <w:trHeight w:val="600"/>
        </w:trPr>
        <w:tc>
          <w:tcPr>
            <w:tcW w:w="0" w:type="auto"/>
            <w:vMerge/>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107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小计</w:t>
            </w:r>
          </w:p>
        </w:tc>
        <w:tc>
          <w:tcPr>
            <w:tcW w:w="1028"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公务用车 </w:t>
            </w:r>
          </w:p>
          <w:p w:rsidR="006A5F64" w:rsidRPr="006A5F64" w:rsidRDefault="006A5F64" w:rsidP="006A5F64">
            <w:pPr>
              <w:widowControl/>
              <w:spacing w:line="480" w:lineRule="atLeast"/>
              <w:jc w:val="lef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购置费</w:t>
            </w:r>
          </w:p>
        </w:tc>
        <w:tc>
          <w:tcPr>
            <w:tcW w:w="10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公务用车 </w:t>
            </w:r>
          </w:p>
          <w:p w:rsidR="006A5F64" w:rsidRPr="006A5F64" w:rsidRDefault="006A5F64" w:rsidP="006A5F64">
            <w:pPr>
              <w:widowControl/>
              <w:spacing w:line="480" w:lineRule="atLeast"/>
              <w:jc w:val="lef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运行费</w:t>
            </w:r>
          </w:p>
        </w:tc>
        <w:tc>
          <w:tcPr>
            <w:tcW w:w="0" w:type="auto"/>
            <w:vMerge/>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71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小计</w:t>
            </w:r>
          </w:p>
        </w:tc>
        <w:tc>
          <w:tcPr>
            <w:tcW w:w="998"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公务用车 </w:t>
            </w:r>
          </w:p>
          <w:p w:rsidR="006A5F64" w:rsidRPr="006A5F64" w:rsidRDefault="006A5F64" w:rsidP="006A5F64">
            <w:pPr>
              <w:widowControl/>
              <w:spacing w:line="480" w:lineRule="atLeast"/>
              <w:jc w:val="lef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购置费</w:t>
            </w:r>
          </w:p>
        </w:tc>
        <w:tc>
          <w:tcPr>
            <w:tcW w:w="1379"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公务用车 </w:t>
            </w:r>
          </w:p>
          <w:p w:rsidR="006A5F64" w:rsidRPr="006A5F64" w:rsidRDefault="006A5F64" w:rsidP="006A5F64">
            <w:pPr>
              <w:widowControl/>
              <w:spacing w:line="480" w:lineRule="atLeast"/>
              <w:jc w:val="lef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运行费</w:t>
            </w:r>
          </w:p>
        </w:tc>
        <w:tc>
          <w:tcPr>
            <w:tcW w:w="0" w:type="auto"/>
            <w:vMerge/>
            <w:tcBorders>
              <w:top w:val="single" w:sz="8" w:space="0" w:color="000000"/>
              <w:left w:val="nil"/>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555"/>
        </w:trPr>
        <w:tc>
          <w:tcPr>
            <w:tcW w:w="805" w:type="dxa"/>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w:t>
            </w:r>
          </w:p>
        </w:tc>
        <w:tc>
          <w:tcPr>
            <w:tcW w:w="121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w:t>
            </w:r>
          </w:p>
        </w:tc>
        <w:tc>
          <w:tcPr>
            <w:tcW w:w="1073"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3</w:t>
            </w:r>
          </w:p>
        </w:tc>
        <w:tc>
          <w:tcPr>
            <w:tcW w:w="1028"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4</w:t>
            </w:r>
          </w:p>
        </w:tc>
        <w:tc>
          <w:tcPr>
            <w:tcW w:w="107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5</w:t>
            </w:r>
          </w:p>
        </w:tc>
        <w:tc>
          <w:tcPr>
            <w:tcW w:w="804"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6</w:t>
            </w:r>
          </w:p>
        </w:tc>
        <w:tc>
          <w:tcPr>
            <w:tcW w:w="67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7</w:t>
            </w:r>
          </w:p>
        </w:tc>
        <w:tc>
          <w:tcPr>
            <w:tcW w:w="1061"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8</w:t>
            </w:r>
          </w:p>
        </w:tc>
        <w:tc>
          <w:tcPr>
            <w:tcW w:w="716"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9</w:t>
            </w:r>
          </w:p>
        </w:tc>
        <w:tc>
          <w:tcPr>
            <w:tcW w:w="998"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10</w:t>
            </w:r>
          </w:p>
        </w:tc>
        <w:tc>
          <w:tcPr>
            <w:tcW w:w="1379"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11</w:t>
            </w:r>
          </w:p>
        </w:tc>
        <w:tc>
          <w:tcPr>
            <w:tcW w:w="1545" w:type="dxa"/>
            <w:tcBorders>
              <w:top w:val="nil"/>
              <w:left w:val="nil"/>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12</w:t>
            </w:r>
          </w:p>
        </w:tc>
      </w:tr>
      <w:tr w:rsidR="006A5F64" w:rsidRPr="006A5F64" w:rsidTr="006A5F64">
        <w:trPr>
          <w:trHeight w:val="855"/>
        </w:trPr>
        <w:tc>
          <w:tcPr>
            <w:tcW w:w="805" w:type="dxa"/>
            <w:tcBorders>
              <w:top w:val="nil"/>
              <w:left w:val="single" w:sz="12" w:space="0" w:color="000000"/>
              <w:bottom w:val="single" w:sz="12"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20</w:t>
            </w:r>
          </w:p>
        </w:tc>
        <w:tc>
          <w:tcPr>
            <w:tcW w:w="1210" w:type="dxa"/>
            <w:tcBorders>
              <w:top w:val="nil"/>
              <w:left w:val="nil"/>
              <w:bottom w:val="single" w:sz="12"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73" w:type="dxa"/>
            <w:tcBorders>
              <w:top w:val="nil"/>
              <w:left w:val="nil"/>
              <w:bottom w:val="single" w:sz="12"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20</w:t>
            </w:r>
          </w:p>
        </w:tc>
        <w:tc>
          <w:tcPr>
            <w:tcW w:w="1028" w:type="dxa"/>
            <w:tcBorders>
              <w:top w:val="nil"/>
              <w:left w:val="nil"/>
              <w:bottom w:val="single" w:sz="12"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74" w:type="dxa"/>
            <w:tcBorders>
              <w:top w:val="nil"/>
              <w:left w:val="nil"/>
              <w:bottom w:val="single" w:sz="12"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20</w:t>
            </w:r>
          </w:p>
        </w:tc>
        <w:tc>
          <w:tcPr>
            <w:tcW w:w="804" w:type="dxa"/>
            <w:tcBorders>
              <w:top w:val="nil"/>
              <w:left w:val="nil"/>
              <w:bottom w:val="single" w:sz="12"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71" w:type="dxa"/>
            <w:tcBorders>
              <w:top w:val="nil"/>
              <w:left w:val="nil"/>
              <w:bottom w:val="single" w:sz="12"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18</w:t>
            </w:r>
          </w:p>
        </w:tc>
        <w:tc>
          <w:tcPr>
            <w:tcW w:w="1061" w:type="dxa"/>
            <w:tcBorders>
              <w:top w:val="nil"/>
              <w:left w:val="nil"/>
              <w:bottom w:val="single" w:sz="12"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716" w:type="dxa"/>
            <w:tcBorders>
              <w:top w:val="nil"/>
              <w:left w:val="nil"/>
              <w:bottom w:val="single" w:sz="12"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18</w:t>
            </w:r>
          </w:p>
        </w:tc>
        <w:tc>
          <w:tcPr>
            <w:tcW w:w="998" w:type="dxa"/>
            <w:tcBorders>
              <w:top w:val="nil"/>
              <w:left w:val="nil"/>
              <w:bottom w:val="single" w:sz="12"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79" w:type="dxa"/>
            <w:tcBorders>
              <w:top w:val="nil"/>
              <w:left w:val="nil"/>
              <w:bottom w:val="single" w:sz="12"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2"/>
              </w:rPr>
              <w:t>18</w:t>
            </w:r>
          </w:p>
        </w:tc>
        <w:tc>
          <w:tcPr>
            <w:tcW w:w="1545" w:type="dxa"/>
            <w:tcBorders>
              <w:top w:val="nil"/>
              <w:left w:val="single" w:sz="8" w:space="0" w:color="000000"/>
              <w:bottom w:val="single" w:sz="12"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30"/>
        </w:trPr>
        <w:tc>
          <w:tcPr>
            <w:tcW w:w="7726" w:type="dxa"/>
            <w:gridSpan w:val="8"/>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注：本表反映部门本年度一般公共预算财政拨款实际支出情况。</w:t>
            </w:r>
          </w:p>
        </w:tc>
        <w:tc>
          <w:tcPr>
            <w:tcW w:w="716"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8"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379"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54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bl>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黑体" w:eastAsia="黑体" w:hAnsi="黑体" w:cs="Times New Roman" w:hint="eastAsia"/>
          <w:color w:val="333333"/>
          <w:kern w:val="0"/>
          <w:sz w:val="32"/>
          <w:szCs w:val="32"/>
        </w:rPr>
        <w:t>八、政府性基金预算财政拨款收入支出决算表</w:t>
      </w:r>
    </w:p>
    <w:tbl>
      <w:tblPr>
        <w:tblW w:w="11040" w:type="dxa"/>
        <w:tblInd w:w="93" w:type="dxa"/>
        <w:tblCellMar>
          <w:top w:w="15" w:type="dxa"/>
          <w:left w:w="15" w:type="dxa"/>
          <w:bottom w:w="15" w:type="dxa"/>
          <w:right w:w="15" w:type="dxa"/>
        </w:tblCellMar>
        <w:tblLook w:val="04A0"/>
      </w:tblPr>
      <w:tblGrid>
        <w:gridCol w:w="555"/>
        <w:gridCol w:w="1080"/>
        <w:gridCol w:w="615"/>
        <w:gridCol w:w="1095"/>
        <w:gridCol w:w="1065"/>
        <w:gridCol w:w="990"/>
        <w:gridCol w:w="975"/>
        <w:gridCol w:w="1260"/>
        <w:gridCol w:w="1245"/>
        <w:gridCol w:w="1125"/>
        <w:gridCol w:w="1035"/>
      </w:tblGrid>
      <w:tr w:rsidR="006A5F64" w:rsidRPr="006A5F64" w:rsidTr="006A5F64">
        <w:trPr>
          <w:trHeight w:val="375"/>
        </w:trPr>
        <w:tc>
          <w:tcPr>
            <w:tcW w:w="11040" w:type="dxa"/>
            <w:gridSpan w:val="11"/>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华文中宋" w:eastAsia="华文中宋" w:hAnsi="Times New Roman" w:cs="Times New Roman" w:hint="eastAsia"/>
                <w:color w:val="333333"/>
                <w:kern w:val="0"/>
                <w:sz w:val="32"/>
                <w:szCs w:val="32"/>
              </w:rPr>
              <w:t>政府性基金预算财政拨款收入支出决算表</w:t>
            </w:r>
          </w:p>
        </w:tc>
      </w:tr>
      <w:tr w:rsidR="006A5F64" w:rsidRPr="006A5F64" w:rsidTr="006A5F64">
        <w:trPr>
          <w:trHeight w:val="211"/>
        </w:trPr>
        <w:tc>
          <w:tcPr>
            <w:tcW w:w="55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8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1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95"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5"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75"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260"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245"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25" w:type="dxa"/>
            <w:vAlign w:val="bottom"/>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35"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公开08表</w:t>
            </w:r>
          </w:p>
        </w:tc>
      </w:tr>
      <w:tr w:rsidR="006A5F64" w:rsidRPr="006A5F64" w:rsidTr="006A5F64">
        <w:trPr>
          <w:trHeight w:val="301"/>
        </w:trPr>
        <w:tc>
          <w:tcPr>
            <w:tcW w:w="5400" w:type="dxa"/>
            <w:gridSpan w:val="6"/>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部门：农安县畜牧业管理局</w:t>
            </w:r>
          </w:p>
        </w:tc>
        <w:tc>
          <w:tcPr>
            <w:tcW w:w="975" w:type="dxa"/>
            <w:tcBorders>
              <w:top w:val="nil"/>
              <w:left w:val="nil"/>
              <w:bottom w:val="single" w:sz="12"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260"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24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25" w:type="dxa"/>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35" w:type="dxa"/>
            <w:vAlign w:val="center"/>
            <w:hideMark/>
          </w:tcPr>
          <w:p w:rsidR="006A5F64" w:rsidRPr="006A5F64" w:rsidRDefault="006A5F64" w:rsidP="006A5F64">
            <w:pPr>
              <w:widowControl/>
              <w:spacing w:line="480" w:lineRule="atLeast"/>
              <w:jc w:val="righ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0"/>
                <w:szCs w:val="20"/>
              </w:rPr>
              <w:t>单位：万元</w:t>
            </w:r>
          </w:p>
        </w:tc>
      </w:tr>
      <w:tr w:rsidR="006A5F64" w:rsidRPr="006A5F64" w:rsidTr="006A5F64">
        <w:trPr>
          <w:trHeight w:val="510"/>
        </w:trPr>
        <w:tc>
          <w:tcPr>
            <w:tcW w:w="2250" w:type="dxa"/>
            <w:gridSpan w:val="3"/>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项 </w:t>
            </w:r>
            <w:r w:rsidRPr="006A5F64">
              <w:rPr>
                <w:rFonts w:ascii="宋体" w:eastAsia="宋体" w:hAnsi="宋体" w:cs="Times New Roman" w:hint="eastAsia"/>
                <w:color w:val="333333"/>
                <w:kern w:val="0"/>
                <w:sz w:val="22"/>
              </w:rPr>
              <w:t>   </w:t>
            </w:r>
            <w:r w:rsidRPr="006A5F64">
              <w:rPr>
                <w:rFonts w:ascii="宋体" w:eastAsia="宋体" w:hAnsi="宋体" w:cs="Times New Roman" w:hint="eastAsia"/>
                <w:color w:val="333333"/>
                <w:kern w:val="0"/>
                <w:sz w:val="24"/>
                <w:szCs w:val="24"/>
              </w:rPr>
              <w:t>目</w:t>
            </w:r>
          </w:p>
        </w:tc>
        <w:tc>
          <w:tcPr>
            <w:tcW w:w="1095" w:type="dxa"/>
            <w:vMerge w:val="restart"/>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年初结转和结余</w:t>
            </w:r>
          </w:p>
        </w:tc>
        <w:tc>
          <w:tcPr>
            <w:tcW w:w="1065" w:type="dxa"/>
            <w:vMerge w:val="restart"/>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本年收入</w:t>
            </w:r>
          </w:p>
        </w:tc>
        <w:tc>
          <w:tcPr>
            <w:tcW w:w="5595" w:type="dxa"/>
            <w:gridSpan w:val="5"/>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本年支出</w:t>
            </w:r>
          </w:p>
        </w:tc>
        <w:tc>
          <w:tcPr>
            <w:tcW w:w="1035" w:type="dxa"/>
            <w:vMerge w:val="restart"/>
            <w:tcBorders>
              <w:top w:val="single" w:sz="12" w:space="0" w:color="000000"/>
              <w:left w:val="single" w:sz="8" w:space="0" w:color="000000"/>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年末结转和结余</w:t>
            </w:r>
          </w:p>
        </w:tc>
      </w:tr>
      <w:tr w:rsidR="006A5F64" w:rsidRPr="006A5F64" w:rsidTr="006A5F64">
        <w:trPr>
          <w:trHeight w:val="480"/>
        </w:trPr>
        <w:tc>
          <w:tcPr>
            <w:tcW w:w="1635" w:type="dxa"/>
            <w:gridSpan w:val="2"/>
            <w:vMerge w:val="restart"/>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功能分类科目编码</w:t>
            </w:r>
          </w:p>
        </w:tc>
        <w:tc>
          <w:tcPr>
            <w:tcW w:w="615" w:type="dxa"/>
            <w:vMerge w:val="restart"/>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科目名称</w:t>
            </w:r>
          </w:p>
        </w:tc>
        <w:tc>
          <w:tcPr>
            <w:tcW w:w="0" w:type="auto"/>
            <w:vMerge/>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990" w:type="dxa"/>
            <w:vMerge w:val="restart"/>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小计</w:t>
            </w:r>
          </w:p>
        </w:tc>
        <w:tc>
          <w:tcPr>
            <w:tcW w:w="3480" w:type="dxa"/>
            <w:gridSpan w:val="3"/>
            <w:vMerge w:val="restart"/>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基本支出  </w:t>
            </w:r>
          </w:p>
        </w:tc>
        <w:tc>
          <w:tcPr>
            <w:tcW w:w="1125" w:type="dxa"/>
            <w:vMerge w:val="restart"/>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项目支出</w:t>
            </w:r>
          </w:p>
        </w:tc>
        <w:tc>
          <w:tcPr>
            <w:tcW w:w="0" w:type="auto"/>
            <w:vMerge/>
            <w:tcBorders>
              <w:top w:val="single" w:sz="12" w:space="0" w:color="000000"/>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312"/>
        </w:trPr>
        <w:tc>
          <w:tcPr>
            <w:tcW w:w="0" w:type="auto"/>
            <w:gridSpan w:val="2"/>
            <w:vMerge/>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gridSpan w:val="3"/>
            <w:vMerge/>
            <w:tcBorders>
              <w:top w:val="single" w:sz="8" w:space="0" w:color="000000"/>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450"/>
        </w:trPr>
        <w:tc>
          <w:tcPr>
            <w:tcW w:w="0" w:type="auto"/>
            <w:gridSpan w:val="2"/>
            <w:vMerge/>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single" w:sz="8"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97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合计</w:t>
            </w:r>
          </w:p>
        </w:tc>
        <w:tc>
          <w:tcPr>
            <w:tcW w:w="126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人员经费</w:t>
            </w:r>
          </w:p>
        </w:tc>
        <w:tc>
          <w:tcPr>
            <w:tcW w:w="124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公用经费</w:t>
            </w:r>
          </w:p>
        </w:tc>
        <w:tc>
          <w:tcPr>
            <w:tcW w:w="0" w:type="auto"/>
            <w:vMerge/>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c>
          <w:tcPr>
            <w:tcW w:w="0" w:type="auto"/>
            <w:vMerge/>
            <w:tcBorders>
              <w:top w:val="single" w:sz="12" w:space="0" w:color="000000"/>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color w:val="333333"/>
                <w:kern w:val="0"/>
                <w:szCs w:val="21"/>
              </w:rPr>
            </w:pPr>
          </w:p>
        </w:tc>
      </w:tr>
      <w:tr w:rsidR="006A5F64" w:rsidRPr="006A5F64" w:rsidTr="006A5F64">
        <w:trPr>
          <w:trHeight w:val="450"/>
        </w:trPr>
        <w:tc>
          <w:tcPr>
            <w:tcW w:w="2250" w:type="dxa"/>
            <w:gridSpan w:val="3"/>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栏次</w:t>
            </w:r>
          </w:p>
        </w:tc>
        <w:tc>
          <w:tcPr>
            <w:tcW w:w="109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1</w:t>
            </w:r>
          </w:p>
        </w:tc>
        <w:tc>
          <w:tcPr>
            <w:tcW w:w="1065"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2</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3</w:t>
            </w:r>
          </w:p>
        </w:tc>
        <w:tc>
          <w:tcPr>
            <w:tcW w:w="3480" w:type="dxa"/>
            <w:gridSpan w:val="3"/>
            <w:tcBorders>
              <w:top w:val="nil"/>
              <w:left w:val="nil"/>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4</w:t>
            </w:r>
          </w:p>
        </w:tc>
        <w:tc>
          <w:tcPr>
            <w:tcW w:w="1125" w:type="dxa"/>
            <w:tcBorders>
              <w:top w:val="nil"/>
              <w:left w:val="single" w:sz="8" w:space="0" w:color="000000"/>
              <w:bottom w:val="single" w:sz="8" w:space="0" w:color="000000"/>
              <w:right w:val="nil"/>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5</w:t>
            </w:r>
          </w:p>
        </w:tc>
        <w:tc>
          <w:tcPr>
            <w:tcW w:w="1035"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6</w:t>
            </w:r>
          </w:p>
        </w:tc>
      </w:tr>
      <w:tr w:rsidR="006A5F64" w:rsidRPr="006A5F64" w:rsidTr="006A5F64">
        <w:trPr>
          <w:trHeight w:val="450"/>
        </w:trPr>
        <w:tc>
          <w:tcPr>
            <w:tcW w:w="2250" w:type="dxa"/>
            <w:gridSpan w:val="3"/>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spacing w:line="480" w:lineRule="atLeast"/>
              <w:jc w:val="center"/>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合计</w:t>
            </w:r>
          </w:p>
        </w:tc>
        <w:tc>
          <w:tcPr>
            <w:tcW w:w="109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7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260"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245"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25" w:type="dxa"/>
            <w:tcBorders>
              <w:top w:val="single" w:sz="8" w:space="0" w:color="000000"/>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35" w:type="dxa"/>
            <w:tcBorders>
              <w:top w:val="single" w:sz="8" w:space="0" w:color="000000"/>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450"/>
        </w:trPr>
        <w:tc>
          <w:tcPr>
            <w:tcW w:w="1635"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1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9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7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260"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245"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25"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35" w:type="dxa"/>
            <w:tcBorders>
              <w:top w:val="single" w:sz="8" w:space="0" w:color="000000"/>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450"/>
        </w:trPr>
        <w:tc>
          <w:tcPr>
            <w:tcW w:w="1635" w:type="dxa"/>
            <w:gridSpan w:val="2"/>
            <w:tcBorders>
              <w:top w:val="nil"/>
              <w:left w:val="single" w:sz="12" w:space="0" w:color="000000"/>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61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9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6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90"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975" w:type="dxa"/>
            <w:tcBorders>
              <w:top w:val="nil"/>
              <w:left w:val="nil"/>
              <w:bottom w:val="single" w:sz="8" w:space="0" w:color="000000"/>
              <w:right w:val="single" w:sz="8"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260" w:type="dxa"/>
            <w:tcBorders>
              <w:top w:val="nil"/>
              <w:left w:val="nil"/>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245"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125" w:type="dxa"/>
            <w:tcBorders>
              <w:top w:val="nil"/>
              <w:left w:val="single" w:sz="8" w:space="0" w:color="000000"/>
              <w:bottom w:val="single" w:sz="8" w:space="0" w:color="000000"/>
              <w:right w:val="nil"/>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c>
          <w:tcPr>
            <w:tcW w:w="1035" w:type="dxa"/>
            <w:tcBorders>
              <w:top w:val="nil"/>
              <w:left w:val="single" w:sz="8" w:space="0" w:color="000000"/>
              <w:bottom w:val="single" w:sz="8" w:space="0" w:color="000000"/>
              <w:right w:val="single" w:sz="12" w:space="0" w:color="000000"/>
            </w:tcBorders>
            <w:vAlign w:val="center"/>
            <w:hideMark/>
          </w:tcPr>
          <w:p w:rsidR="006A5F64" w:rsidRPr="006A5F64" w:rsidRDefault="006A5F64" w:rsidP="006A5F64">
            <w:pPr>
              <w:widowControl/>
              <w:jc w:val="left"/>
              <w:rPr>
                <w:rFonts w:ascii="Times New Roman" w:eastAsia="宋体" w:hAnsi="Times New Roman" w:cs="Times New Roman"/>
                <w:kern w:val="0"/>
                <w:sz w:val="20"/>
                <w:szCs w:val="20"/>
              </w:rPr>
            </w:pPr>
            <w:r w:rsidRPr="006A5F64">
              <w:rPr>
                <w:rFonts w:ascii="Times New Roman" w:eastAsia="宋体" w:hAnsi="Times New Roman" w:cs="Times New Roman"/>
                <w:kern w:val="0"/>
                <w:sz w:val="20"/>
                <w:szCs w:val="20"/>
              </w:rPr>
              <w:t> </w:t>
            </w:r>
          </w:p>
        </w:tc>
      </w:tr>
      <w:tr w:rsidR="006A5F64" w:rsidRPr="006A5F64" w:rsidTr="006A5F64">
        <w:trPr>
          <w:trHeight w:val="316"/>
        </w:trPr>
        <w:tc>
          <w:tcPr>
            <w:tcW w:w="11040" w:type="dxa"/>
            <w:gridSpan w:val="11"/>
            <w:tcBorders>
              <w:top w:val="single" w:sz="12" w:space="0" w:color="000000"/>
              <w:left w:val="nil"/>
              <w:bottom w:val="nil"/>
              <w:right w:val="nil"/>
            </w:tcBorders>
            <w:vAlign w:val="center"/>
            <w:hideMark/>
          </w:tcPr>
          <w:p w:rsidR="006A5F64" w:rsidRPr="006A5F64" w:rsidRDefault="006A5F64" w:rsidP="006A5F64">
            <w:pPr>
              <w:widowControl/>
              <w:spacing w:line="480" w:lineRule="atLeast"/>
              <w:jc w:val="left"/>
              <w:textAlignment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Times New Roman" w:hint="eastAsia"/>
                <w:color w:val="333333"/>
                <w:kern w:val="0"/>
                <w:sz w:val="24"/>
                <w:szCs w:val="24"/>
              </w:rPr>
              <w:t>注：本表反映部门本年度政府性基金预算财政拨款收入支出及结转和结余情况。</w:t>
            </w:r>
          </w:p>
        </w:tc>
      </w:tr>
    </w:tbl>
    <w:p w:rsidR="006A5F64" w:rsidRPr="006A5F64" w:rsidRDefault="006A5F64" w:rsidP="006A5F64">
      <w:pPr>
        <w:widowControl/>
        <w:spacing w:line="480" w:lineRule="atLeast"/>
        <w:jc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p>
    <w:p w:rsidR="006A5F64" w:rsidRPr="006A5F64" w:rsidRDefault="006A5F64" w:rsidP="006A5F64">
      <w:pPr>
        <w:widowControl/>
        <w:spacing w:before="375" w:after="375" w:line="480" w:lineRule="atLeast"/>
        <w:rPr>
          <w:rFonts w:ascii="宋体" w:eastAsia="宋体" w:hAnsi="宋体" w:cs="宋体"/>
          <w:color w:val="333333"/>
          <w:kern w:val="0"/>
          <w:szCs w:val="21"/>
        </w:rPr>
      </w:pPr>
      <w:r w:rsidRPr="006A5F64">
        <w:rPr>
          <w:rFonts w:ascii="宋体" w:eastAsia="宋体" w:hAnsi="宋体" w:cs="宋体"/>
          <w:color w:val="333333"/>
          <w:kern w:val="0"/>
          <w:szCs w:val="21"/>
        </w:rPr>
        <w:t xml:space="preserve">　　</w:t>
      </w:r>
    </w:p>
    <w:p w:rsidR="006A5F64" w:rsidRPr="006A5F64" w:rsidRDefault="006A5F64" w:rsidP="006A5F64">
      <w:pPr>
        <w:widowControl/>
        <w:spacing w:line="480" w:lineRule="atLeast"/>
        <w:jc w:val="center"/>
        <w:rPr>
          <w:rFonts w:ascii="Times New Roman" w:eastAsia="宋体" w:hAnsi="Times New Roman" w:cs="Times New Roman"/>
          <w:color w:val="333333"/>
          <w:kern w:val="0"/>
          <w:szCs w:val="21"/>
        </w:rPr>
      </w:pPr>
      <w:r w:rsidRPr="006A5F64">
        <w:rPr>
          <w:rFonts w:ascii="方正小标宋简体" w:eastAsia="方正小标宋简体" w:hAnsi="Times New Roman" w:cs="Times New Roman" w:hint="eastAsia"/>
          <w:color w:val="333333"/>
          <w:kern w:val="0"/>
          <w:sz w:val="44"/>
          <w:szCs w:val="44"/>
        </w:rPr>
        <w:t>第三部分</w:t>
      </w:r>
      <w:r w:rsidRPr="006A5F64">
        <w:rPr>
          <w:rFonts w:ascii="方正小标宋简体" w:eastAsia="方正小标宋简体" w:hAnsi="Times New Roman" w:cs="Times New Roman" w:hint="eastAsia"/>
          <w:color w:val="333333"/>
          <w:kern w:val="0"/>
          <w:sz w:val="44"/>
          <w:szCs w:val="44"/>
        </w:rPr>
        <w:t> </w:t>
      </w:r>
      <w:r w:rsidRPr="006A5F64">
        <w:rPr>
          <w:rFonts w:ascii="方正小标宋简体" w:eastAsia="方正小标宋简体" w:hAnsi="Times New Roman" w:cs="Times New Roman" w:hint="eastAsia"/>
          <w:color w:val="333333"/>
          <w:kern w:val="0"/>
          <w:sz w:val="44"/>
          <w:szCs w:val="44"/>
        </w:rPr>
        <w:t>2017年度部门决算情况说明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黑体" w:eastAsia="黑体" w:hAnsi="黑体" w:cs="Times New Roman" w:hint="eastAsia"/>
          <w:color w:val="333333"/>
          <w:kern w:val="0"/>
          <w:sz w:val="32"/>
          <w:szCs w:val="32"/>
        </w:rPr>
        <w:t>一、收入支出决算总体情况说明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2017</w:t>
      </w:r>
      <w:r w:rsidRPr="006A5F64">
        <w:rPr>
          <w:rFonts w:ascii="仿宋" w:eastAsia="仿宋" w:hAnsi="仿宋" w:cs="Times New Roman" w:hint="eastAsia"/>
          <w:color w:val="333333"/>
          <w:kern w:val="0"/>
          <w:sz w:val="32"/>
          <w:szCs w:val="32"/>
        </w:rPr>
        <w:t>年度收、支总计分别</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9775</w:t>
      </w:r>
      <w:r w:rsidRPr="006A5F64">
        <w:rPr>
          <w:rFonts w:ascii="仿宋" w:eastAsia="仿宋" w:hAnsi="仿宋" w:cs="Times New Roman" w:hint="eastAsia"/>
          <w:color w:val="333333"/>
          <w:kern w:val="0"/>
          <w:sz w:val="32"/>
          <w:szCs w:val="32"/>
        </w:rPr>
        <w:t xml:space="preserve">万元、5357万元。与2016年相比，收入总计各增加3710万元，增长61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w:t>
      </w:r>
      <w:r w:rsidRPr="006A5F64">
        <w:rPr>
          <w:rFonts w:ascii="仿宋" w:eastAsia="仿宋" w:hAnsi="仿宋" w:cs="Times New Roman" w:hint="eastAsia"/>
          <w:color w:val="333333"/>
          <w:kern w:val="0"/>
          <w:sz w:val="32"/>
          <w:szCs w:val="32"/>
        </w:rPr>
        <w:t>，支出总计减少299万元，减少5%。主要原因：收入增加主要</w:t>
      </w:r>
      <w:r w:rsidRPr="006A5F64">
        <w:rPr>
          <w:rFonts w:ascii="仿宋" w:eastAsia="仿宋" w:hAnsi="仿宋" w:cs="Times New Roman" w:hint="eastAsia"/>
          <w:color w:val="333333"/>
          <w:kern w:val="0"/>
          <w:sz w:val="32"/>
          <w:szCs w:val="32"/>
        </w:rPr>
        <w:lastRenderedPageBreak/>
        <w:t>开展粪污资源化利用项目；支出减少主要是项目没有完成，尚未检查验收，资金未能发放。</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黑体" w:eastAsia="黑体" w:hAnsi="黑体" w:cs="Times New Roman" w:hint="eastAsia"/>
          <w:color w:val="333333"/>
          <w:kern w:val="0"/>
          <w:sz w:val="32"/>
          <w:szCs w:val="32"/>
        </w:rPr>
        <w:t>二、收入决算情况说明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Times New Roman" w:hint="eastAsia"/>
          <w:color w:val="333333"/>
          <w:kern w:val="0"/>
          <w:sz w:val="32"/>
          <w:szCs w:val="32"/>
        </w:rPr>
        <w:t>本年收入合计</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 xml:space="preserve">9775 </w:t>
      </w:r>
      <w:r w:rsidRPr="006A5F64">
        <w:rPr>
          <w:rFonts w:ascii="仿宋" w:eastAsia="仿宋" w:hAnsi="仿宋" w:cs="Times New Roman" w:hint="eastAsia"/>
          <w:color w:val="333333"/>
          <w:kern w:val="0"/>
          <w:sz w:val="32"/>
          <w:szCs w:val="32"/>
        </w:rPr>
        <w:t>万元，其中：财政拨款收入 9730 万元，占 99%；</w:t>
      </w:r>
      <w:r w:rsidRPr="006A5F64">
        <w:rPr>
          <w:rFonts w:ascii="仿宋" w:eastAsia="仿宋" w:hAnsi="仿宋" w:cs="Times New Roman" w:hint="eastAsia"/>
          <w:color w:val="333333"/>
          <w:kern w:val="0"/>
          <w:sz w:val="32"/>
          <w:szCs w:val="32"/>
          <w:shd w:val="clear" w:color="auto" w:fill="FFFF00"/>
        </w:rPr>
        <w:t>其他收入</w:t>
      </w:r>
      <w:r w:rsidRPr="006A5F64">
        <w:rPr>
          <w:rFonts w:ascii="宋体" w:eastAsia="宋体" w:hAnsi="宋体" w:cs="宋体" w:hint="eastAsia"/>
          <w:color w:val="333333"/>
          <w:kern w:val="0"/>
          <w:sz w:val="32"/>
          <w:szCs w:val="32"/>
          <w:shd w:val="clear" w:color="auto" w:fill="FFFF00"/>
        </w:rPr>
        <w:t> </w:t>
      </w:r>
      <w:r w:rsidRPr="006A5F64">
        <w:rPr>
          <w:rFonts w:ascii="仿宋" w:eastAsia="仿宋" w:hAnsi="仿宋" w:cs="仿宋" w:hint="eastAsia"/>
          <w:color w:val="333333"/>
          <w:kern w:val="0"/>
          <w:sz w:val="32"/>
          <w:szCs w:val="32"/>
          <w:shd w:val="clear" w:color="auto" w:fill="FFFF00"/>
        </w:rPr>
        <w:t xml:space="preserve">45 </w:t>
      </w:r>
      <w:r w:rsidRPr="006A5F64">
        <w:rPr>
          <w:rFonts w:ascii="仿宋" w:eastAsia="仿宋" w:hAnsi="仿宋" w:cs="Times New Roman" w:hint="eastAsia"/>
          <w:color w:val="333333"/>
          <w:kern w:val="0"/>
          <w:sz w:val="32"/>
          <w:szCs w:val="32"/>
          <w:shd w:val="clear" w:color="auto" w:fill="FFFF00"/>
        </w:rPr>
        <w:t>万元，占 1 %</w:t>
      </w:r>
      <w:r w:rsidRPr="006A5F64">
        <w:rPr>
          <w:rFonts w:ascii="仿宋" w:eastAsia="仿宋" w:hAnsi="仿宋" w:cs="Times New Roman" w:hint="eastAsia"/>
          <w:color w:val="333333"/>
          <w:kern w:val="0"/>
          <w:sz w:val="32"/>
          <w:szCs w:val="32"/>
        </w:rPr>
        <w:t>。</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黑体" w:eastAsia="黑体" w:hAnsi="黑体" w:cs="Times New Roman" w:hint="eastAsia"/>
          <w:color w:val="333333"/>
          <w:kern w:val="0"/>
          <w:sz w:val="32"/>
          <w:szCs w:val="32"/>
        </w:rPr>
        <w:t>三、支出决算情况说明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Times New Roman" w:hint="eastAsia"/>
          <w:color w:val="333333"/>
          <w:kern w:val="0"/>
          <w:sz w:val="32"/>
          <w:szCs w:val="32"/>
        </w:rPr>
        <w:t>本年支出合计</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 xml:space="preserve">5357 </w:t>
      </w:r>
      <w:r w:rsidRPr="006A5F64">
        <w:rPr>
          <w:rFonts w:ascii="仿宋" w:eastAsia="仿宋" w:hAnsi="仿宋" w:cs="Times New Roman" w:hint="eastAsia"/>
          <w:color w:val="333333"/>
          <w:kern w:val="0"/>
          <w:sz w:val="32"/>
          <w:szCs w:val="32"/>
        </w:rPr>
        <w:t>万元，其中：基本支出 2381 万元，占44 %；项目支出 2976万元，占56 %；</w:t>
      </w:r>
      <w:r w:rsidRPr="006A5F64">
        <w:rPr>
          <w:rFonts w:ascii="仿宋" w:eastAsia="仿宋" w:hAnsi="仿宋" w:cs="Times New Roman" w:hint="eastAsia"/>
          <w:color w:val="333333"/>
          <w:kern w:val="0"/>
          <w:sz w:val="32"/>
          <w:szCs w:val="32"/>
          <w:shd w:val="clear" w:color="auto" w:fill="FFFF00"/>
        </w:rPr>
        <w:t>基本支出中，人员经费</w:t>
      </w:r>
      <w:r w:rsidRPr="006A5F64">
        <w:rPr>
          <w:rFonts w:ascii="宋体" w:eastAsia="宋体" w:hAnsi="宋体" w:cs="宋体" w:hint="eastAsia"/>
          <w:color w:val="333333"/>
          <w:kern w:val="0"/>
          <w:sz w:val="32"/>
          <w:szCs w:val="32"/>
          <w:shd w:val="clear" w:color="auto" w:fill="FFFF00"/>
        </w:rPr>
        <w:t> </w:t>
      </w:r>
      <w:r w:rsidRPr="006A5F64">
        <w:rPr>
          <w:rFonts w:ascii="仿宋" w:eastAsia="仿宋" w:hAnsi="仿宋" w:cs="仿宋" w:hint="eastAsia"/>
          <w:color w:val="333333"/>
          <w:kern w:val="0"/>
          <w:sz w:val="32"/>
          <w:szCs w:val="32"/>
          <w:shd w:val="clear" w:color="auto" w:fill="FFFF00"/>
        </w:rPr>
        <w:t xml:space="preserve">2218 </w:t>
      </w:r>
      <w:r w:rsidRPr="006A5F64">
        <w:rPr>
          <w:rFonts w:ascii="仿宋" w:eastAsia="仿宋" w:hAnsi="仿宋" w:cs="Times New Roman" w:hint="eastAsia"/>
          <w:color w:val="333333"/>
          <w:kern w:val="0"/>
          <w:sz w:val="32"/>
          <w:szCs w:val="32"/>
          <w:shd w:val="clear" w:color="auto" w:fill="FFFF00"/>
        </w:rPr>
        <w:t>万元，占93 %；公用经费 163万元，占7 %。</w:t>
      </w:r>
      <w:r w:rsidRPr="006A5F64">
        <w:rPr>
          <w:rFonts w:ascii="仿宋" w:eastAsia="仿宋" w:hAnsi="仿宋" w:cs="Times New Roman" w:hint="eastAsia"/>
          <w:color w:val="333333"/>
          <w:kern w:val="0"/>
          <w:sz w:val="32"/>
          <w:szCs w:val="32"/>
        </w:rPr>
        <w:t>。</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黑体" w:eastAsia="黑体" w:hAnsi="黑体" w:cs="Times New Roman" w:hint="eastAsia"/>
          <w:color w:val="333333"/>
          <w:kern w:val="0"/>
          <w:sz w:val="32"/>
          <w:szCs w:val="32"/>
        </w:rPr>
        <w:t>四、财政拨款收入支出决算总体情况说明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2017</w:t>
      </w:r>
      <w:r w:rsidRPr="006A5F64">
        <w:rPr>
          <w:rFonts w:ascii="仿宋" w:eastAsia="仿宋" w:hAnsi="仿宋" w:cs="Times New Roman" w:hint="eastAsia"/>
          <w:color w:val="333333"/>
          <w:kern w:val="0"/>
          <w:sz w:val="32"/>
          <w:szCs w:val="32"/>
        </w:rPr>
        <w:t>年度财政拨款收、支总计各 9730 万元、6062万元，与2016年相比，财政拨款收入总计增加3668万元；增长60 %。财政拨款支出总计减少333万元，降低5%，主要原因: 收入增加主要开展粪污资源化利用项目，支出降低主要是项目没有完成，尚未检查验收，资金未能发放。</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黑体" w:eastAsia="黑体" w:hAnsi="黑体" w:cs="Times New Roman" w:hint="eastAsia"/>
          <w:color w:val="333333"/>
          <w:kern w:val="0"/>
          <w:sz w:val="32"/>
          <w:szCs w:val="32"/>
        </w:rPr>
        <w:t>五、一般公共预算财政拨款支出决算情况说明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楷体" w:eastAsia="楷体" w:hAnsi="楷体" w:cs="Times New Roman" w:hint="eastAsia"/>
          <w:b/>
          <w:bCs/>
          <w:color w:val="333333"/>
          <w:kern w:val="0"/>
          <w:sz w:val="32"/>
          <w:szCs w:val="32"/>
        </w:rPr>
        <w:t>（一）财政拨款支出决算总体情况</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2017年度财政拨款支出</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5320</w:t>
      </w:r>
      <w:r w:rsidRPr="006A5F64">
        <w:rPr>
          <w:rFonts w:ascii="仿宋" w:eastAsia="仿宋" w:hAnsi="仿宋" w:cs="Times New Roman" w:hint="eastAsia"/>
          <w:color w:val="333333"/>
          <w:kern w:val="0"/>
          <w:sz w:val="32"/>
          <w:szCs w:val="32"/>
        </w:rPr>
        <w:t>万元，占本年支出合计的 5320 %。与2016年相比，财政拨款支出</w:t>
      </w:r>
      <w:r w:rsidRPr="006A5F64">
        <w:rPr>
          <w:rFonts w:ascii="仿宋" w:eastAsia="仿宋" w:hAnsi="仿宋" w:cs="Times New Roman" w:hint="eastAsia"/>
          <w:color w:val="333333"/>
          <w:kern w:val="0"/>
          <w:sz w:val="32"/>
          <w:szCs w:val="32"/>
          <w:shd w:val="clear" w:color="auto" w:fill="FFFF00"/>
        </w:rPr>
        <w:t>减少333万元，降低</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5 %</w:t>
      </w:r>
      <w:r w:rsidRPr="006A5F64">
        <w:rPr>
          <w:rFonts w:ascii="仿宋" w:eastAsia="仿宋" w:hAnsi="仿宋" w:cs="Times New Roman" w:hint="eastAsia"/>
          <w:color w:val="333333"/>
          <w:kern w:val="0"/>
          <w:sz w:val="32"/>
          <w:szCs w:val="32"/>
        </w:rPr>
        <w:t>。主要原因：项目没有完成，尚未检查验收，资金未能发放。</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宋体" w:eastAsia="宋体" w:hAnsi="宋体" w:cs="宋体" w:hint="eastAsia"/>
          <w:color w:val="333333"/>
          <w:kern w:val="0"/>
          <w:sz w:val="32"/>
          <w:szCs w:val="32"/>
        </w:rPr>
        <w:t>    </w:t>
      </w:r>
      <w:r w:rsidRPr="006A5F64">
        <w:rPr>
          <w:rFonts w:ascii="楷体" w:eastAsia="楷体" w:hAnsi="楷体" w:cs="Times New Roman" w:hint="eastAsia"/>
          <w:b/>
          <w:bCs/>
          <w:color w:val="333333"/>
          <w:kern w:val="0"/>
          <w:sz w:val="32"/>
          <w:szCs w:val="32"/>
        </w:rPr>
        <w:t>（二）财政拨款支出决算结构情况</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2017</w:t>
      </w:r>
      <w:r w:rsidRPr="006A5F64">
        <w:rPr>
          <w:rFonts w:ascii="仿宋" w:eastAsia="仿宋" w:hAnsi="仿宋" w:cs="Times New Roman" w:hint="eastAsia"/>
          <w:color w:val="333333"/>
          <w:kern w:val="0"/>
          <w:sz w:val="32"/>
          <w:szCs w:val="32"/>
        </w:rPr>
        <w:t>年度财政拨款支出 5320 万元，主要用于以下方面：社会保障和就业支出 643 万元，占12 %；农林水支出 4073 万元，占77 %；住房保障支出 103 万元，占2 %；粮油物资储备支出 501 万元，占 9%。</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宋体" w:eastAsia="宋体" w:hAnsi="宋体" w:cs="宋体" w:hint="eastAsia"/>
          <w:b/>
          <w:bCs/>
          <w:color w:val="333333"/>
          <w:kern w:val="0"/>
          <w:sz w:val="32"/>
          <w:szCs w:val="32"/>
        </w:rPr>
        <w:t> </w:t>
      </w:r>
      <w:r w:rsidRPr="006A5F64">
        <w:rPr>
          <w:rFonts w:ascii="楷体" w:eastAsia="楷体" w:hAnsi="楷体" w:cs="Times New Roman" w:hint="eastAsia"/>
          <w:b/>
          <w:bCs/>
          <w:color w:val="333333"/>
          <w:kern w:val="0"/>
          <w:sz w:val="32"/>
          <w:szCs w:val="32"/>
        </w:rPr>
        <w:t>（三）财政拨款支出决算具体情况</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2017年度财政拨款支出年初预算为 2950 万元，支出决算为 5320 万元，完成年初预算的 180 %。其中：</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1.社会保障和就业支出年初预算为608万元，支出决算为643万元，完成年初预算的105%。</w:t>
      </w:r>
      <w:r w:rsidRPr="006A5F64">
        <w:rPr>
          <w:rFonts w:ascii="仿宋" w:eastAsia="仿宋" w:hAnsi="仿宋" w:cs="Times New Roman" w:hint="eastAsia"/>
          <w:color w:val="333333"/>
          <w:kern w:val="0"/>
          <w:sz w:val="32"/>
          <w:szCs w:val="32"/>
          <w:shd w:val="clear" w:color="auto" w:fill="FFFF00"/>
        </w:rPr>
        <w:t>决算数大于预算数</w:t>
      </w:r>
      <w:r w:rsidRPr="006A5F64">
        <w:rPr>
          <w:rFonts w:ascii="仿宋" w:eastAsia="仿宋" w:hAnsi="仿宋" w:cs="Times New Roman" w:hint="eastAsia"/>
          <w:color w:val="333333"/>
          <w:kern w:val="0"/>
          <w:sz w:val="32"/>
          <w:szCs w:val="32"/>
        </w:rPr>
        <w:t>的主要原因是退休人员增资。</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2.农林水支出年初预算为2251万元，支出决算为4073万元，完成年初预算的180%。</w:t>
      </w:r>
      <w:r w:rsidRPr="006A5F64">
        <w:rPr>
          <w:rFonts w:ascii="仿宋" w:eastAsia="仿宋" w:hAnsi="仿宋" w:cs="Times New Roman" w:hint="eastAsia"/>
          <w:color w:val="333333"/>
          <w:kern w:val="0"/>
          <w:sz w:val="32"/>
          <w:szCs w:val="32"/>
          <w:shd w:val="clear" w:color="auto" w:fill="FFFF00"/>
        </w:rPr>
        <w:t>决算数大于预算数的</w:t>
      </w:r>
      <w:r w:rsidRPr="006A5F64">
        <w:rPr>
          <w:rFonts w:ascii="仿宋" w:eastAsia="仿宋" w:hAnsi="仿宋" w:cs="Times New Roman" w:hint="eastAsia"/>
          <w:color w:val="333333"/>
          <w:kern w:val="0"/>
          <w:sz w:val="32"/>
          <w:szCs w:val="32"/>
        </w:rPr>
        <w:t>主要原因是惠农项目与金额增加。</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3.</w:t>
      </w:r>
      <w:r w:rsidRPr="006A5F64">
        <w:rPr>
          <w:rFonts w:ascii="仿宋" w:eastAsia="仿宋" w:hAnsi="仿宋" w:cs="Times New Roman" w:hint="eastAsia"/>
          <w:color w:val="333333"/>
          <w:kern w:val="0"/>
          <w:sz w:val="32"/>
          <w:szCs w:val="32"/>
          <w:shd w:val="clear" w:color="auto" w:fill="FFFF00"/>
        </w:rPr>
        <w:t>住房保障支出</w:t>
      </w:r>
      <w:r w:rsidRPr="006A5F64">
        <w:rPr>
          <w:rFonts w:ascii="仿宋" w:eastAsia="仿宋" w:hAnsi="仿宋" w:cs="Times New Roman" w:hint="eastAsia"/>
          <w:color w:val="333333"/>
          <w:kern w:val="0"/>
          <w:sz w:val="32"/>
          <w:szCs w:val="32"/>
        </w:rPr>
        <w:t>年初预算为91万元，支出决算为103万元，完成年初预算的113%。</w:t>
      </w:r>
      <w:r w:rsidRPr="006A5F64">
        <w:rPr>
          <w:rFonts w:ascii="仿宋" w:eastAsia="仿宋" w:hAnsi="仿宋" w:cs="Times New Roman" w:hint="eastAsia"/>
          <w:color w:val="333333"/>
          <w:kern w:val="0"/>
          <w:sz w:val="32"/>
          <w:szCs w:val="32"/>
          <w:shd w:val="clear" w:color="auto" w:fill="FFFF00"/>
        </w:rPr>
        <w:t>决算数大于预算数的</w:t>
      </w:r>
      <w:r w:rsidRPr="006A5F64">
        <w:rPr>
          <w:rFonts w:ascii="仿宋" w:eastAsia="仿宋" w:hAnsi="仿宋" w:cs="Times New Roman" w:hint="eastAsia"/>
          <w:color w:val="333333"/>
          <w:kern w:val="0"/>
          <w:sz w:val="32"/>
          <w:szCs w:val="32"/>
        </w:rPr>
        <w:t>主要原因是在职职工工资调整。</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4.</w:t>
      </w:r>
      <w:r w:rsidRPr="006A5F64">
        <w:rPr>
          <w:rFonts w:ascii="宋体" w:eastAsia="宋体" w:hAnsi="宋体" w:cs="宋体" w:hint="eastAsia"/>
          <w:color w:val="333333"/>
          <w:kern w:val="0"/>
          <w:sz w:val="32"/>
          <w:szCs w:val="32"/>
          <w:shd w:val="clear" w:color="auto" w:fill="FFFF00"/>
        </w:rPr>
        <w:t> </w:t>
      </w:r>
      <w:r w:rsidRPr="006A5F64">
        <w:rPr>
          <w:rFonts w:ascii="仿宋" w:eastAsia="仿宋" w:hAnsi="仿宋" w:cs="Times New Roman" w:hint="eastAsia"/>
          <w:color w:val="333333"/>
          <w:kern w:val="0"/>
          <w:sz w:val="32"/>
          <w:szCs w:val="32"/>
          <w:shd w:val="clear" w:color="auto" w:fill="FFFF00"/>
        </w:rPr>
        <w:t>粮油物资储备支出年初未申请财政拨款预算，支出决算为501万元，决算数大于预算数的主要原因是</w:t>
      </w:r>
      <w:r w:rsidRPr="006A5F64">
        <w:rPr>
          <w:rFonts w:ascii="仿宋" w:eastAsia="仿宋" w:hAnsi="仿宋" w:cs="Times New Roman" w:hint="eastAsia"/>
          <w:color w:val="333333"/>
          <w:kern w:val="0"/>
          <w:sz w:val="32"/>
          <w:szCs w:val="32"/>
        </w:rPr>
        <w:t>新增饲料企业收玉米补贴。</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黑体" w:eastAsia="黑体" w:hAnsi="黑体" w:cs="Times New Roman" w:hint="eastAsia"/>
          <w:color w:val="333333"/>
          <w:kern w:val="0"/>
          <w:sz w:val="32"/>
          <w:szCs w:val="32"/>
        </w:rPr>
        <w:t>六、一般公共预算财政拨款基本支出决算情况说明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仿宋" w:eastAsia="仿宋" w:hAnsi="仿宋" w:cs="Times New Roman" w:hint="eastAsia"/>
          <w:color w:val="333333"/>
          <w:kern w:val="0"/>
          <w:sz w:val="32"/>
          <w:szCs w:val="32"/>
        </w:rPr>
        <w:t>2017年度财政拨款基本支出2344万元，其中：人员经费2218万元，主要包括：</w:t>
      </w:r>
      <w:r w:rsidRPr="006A5F64">
        <w:rPr>
          <w:rFonts w:ascii="仿宋" w:eastAsia="仿宋" w:hAnsi="仿宋" w:cs="Times New Roman" w:hint="eastAsia"/>
          <w:color w:val="333333"/>
          <w:kern w:val="0"/>
          <w:sz w:val="32"/>
          <w:szCs w:val="32"/>
          <w:shd w:val="clear" w:color="auto" w:fill="FFFF00"/>
        </w:rPr>
        <w:t>基本工资、津贴补贴、奖金、其他社会保障缴费、伙食补助费、绩效工资、机关事业单位基本养老保险缴费、职业年金缴费、其他工资福利支出、离休费、退休费、退职（役）费、抚恤金、生活补助、救济费、医疗费、助学费、奖励金、生产补贴、住房公积金、提租补贴、购房补贴、采暖补贴、物业服务补贴、其他对个人和家庭的补助支出（上述科目须根据本部门情况删减）。</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仿宋" w:eastAsia="仿宋" w:hAnsi="仿宋" w:cs="Times New Roman" w:hint="eastAsia"/>
          <w:color w:val="333333"/>
          <w:kern w:val="0"/>
          <w:sz w:val="32"/>
          <w:szCs w:val="32"/>
        </w:rPr>
        <w:t>公用经费126万元，主要包括：</w:t>
      </w:r>
      <w:r w:rsidRPr="006A5F64">
        <w:rPr>
          <w:rFonts w:ascii="仿宋" w:eastAsia="仿宋" w:hAnsi="仿宋" w:cs="Times New Roman" w:hint="eastAsia"/>
          <w:color w:val="333333"/>
          <w:kern w:val="0"/>
          <w:sz w:val="32"/>
          <w:szCs w:val="32"/>
          <w:shd w:val="clear" w:color="auto" w:fill="FFFF00"/>
        </w:rPr>
        <w:t>办公费、印刷费、咨询费、手续费、水费、电费、邮电费、取暖费、物业管理费、差旅费、因公出国（境）费、维修（护）费、租赁费、会议费、培训费、公务接待费、专用材料费、被装购置费、专用燃料费、劳务费、委托业务费、工会经费、福利费、公务用车运行维护费、其他交通费用、税金及附加费用、其他商品和服务支出、房屋建筑物购建、办公设备购置、专用设备购置、基础设施建设、大型修缮、信息网络及软件购置更新、其他资本性支出（上述科目须根据本部门情况增减）。</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黑体" w:eastAsia="黑体" w:hAnsi="黑体" w:cs="Times New Roman" w:hint="eastAsia"/>
          <w:color w:val="333333"/>
          <w:kern w:val="0"/>
          <w:sz w:val="32"/>
          <w:szCs w:val="32"/>
        </w:rPr>
        <w:t>七、一般公共预算财政拨款“三公”经费支出决算情况说明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楷体" w:eastAsia="楷体" w:hAnsi="楷体" w:cs="Times New Roman" w:hint="eastAsia"/>
          <w:color w:val="333333"/>
          <w:kern w:val="0"/>
          <w:sz w:val="32"/>
          <w:szCs w:val="32"/>
        </w:rPr>
        <w:t>（一）“三公”经费财政拨款支出决算总体情况说明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仿宋" w:eastAsia="仿宋" w:hAnsi="仿宋" w:cs="Times New Roman" w:hint="eastAsia"/>
          <w:color w:val="333333"/>
          <w:kern w:val="0"/>
          <w:sz w:val="32"/>
          <w:szCs w:val="32"/>
        </w:rPr>
        <w:t xml:space="preserve">2017年度“三公”经费财政拨款支出预算为10万元，支出决算为18万元，完成预算的180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w:t>
      </w:r>
      <w:r w:rsidRPr="006A5F64">
        <w:rPr>
          <w:rFonts w:ascii="仿宋" w:eastAsia="仿宋" w:hAnsi="仿宋" w:cs="Times New Roman" w:hint="eastAsia"/>
          <w:color w:val="333333"/>
          <w:kern w:val="0"/>
          <w:sz w:val="32"/>
          <w:szCs w:val="32"/>
        </w:rPr>
        <w:t>。决算数</w:t>
      </w:r>
      <w:r w:rsidRPr="006A5F64">
        <w:rPr>
          <w:rFonts w:ascii="仿宋" w:eastAsia="仿宋" w:hAnsi="仿宋" w:cs="Times New Roman" w:hint="eastAsia"/>
          <w:color w:val="333333"/>
          <w:kern w:val="0"/>
          <w:sz w:val="32"/>
          <w:szCs w:val="32"/>
          <w:shd w:val="clear" w:color="auto" w:fill="FFFF00"/>
        </w:rPr>
        <w:t>大（小）</w:t>
      </w:r>
      <w:r w:rsidRPr="006A5F64">
        <w:rPr>
          <w:rFonts w:ascii="仿宋" w:eastAsia="仿宋" w:hAnsi="仿宋" w:cs="Times New Roman" w:hint="eastAsia"/>
          <w:color w:val="333333"/>
          <w:kern w:val="0"/>
          <w:sz w:val="32"/>
          <w:szCs w:val="32"/>
        </w:rPr>
        <w:t>于预算数的主要原因下乡任务增加，车辆老化维修费增加。</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楷体" w:eastAsia="楷体" w:hAnsi="楷体" w:cs="Times New Roman" w:hint="eastAsia"/>
          <w:color w:val="333333"/>
          <w:kern w:val="0"/>
          <w:sz w:val="32"/>
          <w:szCs w:val="32"/>
        </w:rPr>
        <w:t>（二）“三公”经费财政拨款支出决算具体情况说明</w:t>
      </w:r>
    </w:p>
    <w:p w:rsidR="006A5F64" w:rsidRDefault="006A5F64" w:rsidP="00130569">
      <w:pPr>
        <w:widowControl/>
        <w:spacing w:line="480" w:lineRule="atLeast"/>
        <w:ind w:firstLine="420"/>
        <w:rPr>
          <w:rFonts w:ascii="仿宋" w:eastAsia="仿宋" w:hAnsi="仿宋" w:cs="Times New Roman"/>
          <w:color w:val="333333"/>
          <w:kern w:val="0"/>
          <w:sz w:val="32"/>
          <w:szCs w:val="32"/>
        </w:rPr>
      </w:pPr>
      <w:r w:rsidRPr="006A5F64">
        <w:rPr>
          <w:rFonts w:ascii="仿宋" w:eastAsia="仿宋" w:hAnsi="仿宋" w:cs="Times New Roman" w:hint="eastAsia"/>
          <w:color w:val="333333"/>
          <w:kern w:val="0"/>
          <w:sz w:val="32"/>
          <w:szCs w:val="32"/>
        </w:rPr>
        <w:t>2017年度“三公”经费财政拨款支出决算中，</w:t>
      </w:r>
      <w:r w:rsidR="00130569">
        <w:rPr>
          <w:rFonts w:ascii="仿宋" w:eastAsia="仿宋" w:hAnsi="仿宋" w:cs="Times New Roman" w:hint="eastAsia"/>
          <w:color w:val="333333"/>
          <w:kern w:val="0"/>
          <w:sz w:val="32"/>
          <w:szCs w:val="32"/>
        </w:rPr>
        <w:t>因公出国（境）费用支出决算为0万元，占0%；</w:t>
      </w:r>
      <w:r w:rsidRPr="006A5F64">
        <w:rPr>
          <w:rFonts w:ascii="仿宋" w:eastAsia="仿宋" w:hAnsi="仿宋" w:cs="Times New Roman" w:hint="eastAsia"/>
          <w:color w:val="333333"/>
          <w:kern w:val="0"/>
          <w:sz w:val="32"/>
          <w:szCs w:val="32"/>
        </w:rPr>
        <w:t>公务用车购置及运行费支出决算为 18万元，占 100 %；</w:t>
      </w:r>
      <w:r w:rsidR="00130569">
        <w:rPr>
          <w:rFonts w:ascii="仿宋" w:eastAsia="仿宋" w:hAnsi="仿宋" w:cs="Times New Roman" w:hint="eastAsia"/>
          <w:color w:val="333333"/>
          <w:kern w:val="0"/>
          <w:sz w:val="32"/>
          <w:szCs w:val="32"/>
        </w:rPr>
        <w:t>公务接待费支出决算为0万元，占0%。具体如下：</w:t>
      </w:r>
    </w:p>
    <w:p w:rsidR="00130569" w:rsidRPr="006A5F64" w:rsidRDefault="00130569" w:rsidP="00130569">
      <w:pPr>
        <w:widowControl/>
        <w:spacing w:line="480" w:lineRule="atLeast"/>
        <w:ind w:firstLine="420"/>
        <w:rPr>
          <w:rFonts w:ascii="Times New Roman" w:eastAsia="宋体" w:hAnsi="Times New Roman" w:cs="Times New Roman"/>
          <w:color w:val="333333"/>
          <w:kern w:val="0"/>
          <w:szCs w:val="21"/>
        </w:rPr>
      </w:pPr>
      <w:r>
        <w:rPr>
          <w:rFonts w:ascii="仿宋" w:eastAsia="仿宋" w:hAnsi="仿宋" w:cs="Times New Roman" w:hint="eastAsia"/>
          <w:color w:val="333333"/>
          <w:kern w:val="0"/>
          <w:sz w:val="32"/>
          <w:szCs w:val="32"/>
        </w:rPr>
        <w:t>1、因公出国（境）费支出为0万元。全年安排因公出国（境）团组0个，累计0人次。</w:t>
      </w:r>
    </w:p>
    <w:p w:rsidR="00FC1A31" w:rsidRDefault="00130569" w:rsidP="00FC1A31">
      <w:pPr>
        <w:widowControl/>
        <w:spacing w:line="480" w:lineRule="atLeast"/>
        <w:ind w:firstLine="420"/>
        <w:rPr>
          <w:rFonts w:ascii="仿宋" w:eastAsia="仿宋" w:hAnsi="仿宋" w:cs="Times New Roman"/>
          <w:color w:val="333333"/>
          <w:kern w:val="0"/>
          <w:sz w:val="32"/>
          <w:szCs w:val="32"/>
        </w:rPr>
      </w:pPr>
      <w:r>
        <w:rPr>
          <w:rFonts w:ascii="仿宋" w:eastAsia="仿宋" w:hAnsi="仿宋" w:cs="Times New Roman" w:hint="eastAsia"/>
          <w:color w:val="333333"/>
          <w:kern w:val="0"/>
          <w:sz w:val="32"/>
          <w:szCs w:val="32"/>
        </w:rPr>
        <w:t>2</w:t>
      </w:r>
      <w:r w:rsidR="006A5F64" w:rsidRPr="006A5F64">
        <w:rPr>
          <w:rFonts w:ascii="仿宋" w:eastAsia="仿宋" w:hAnsi="仿宋" w:cs="Times New Roman" w:hint="eastAsia"/>
          <w:color w:val="333333"/>
          <w:kern w:val="0"/>
          <w:sz w:val="32"/>
          <w:szCs w:val="32"/>
        </w:rPr>
        <w:t>.公务用车购置及运行费支出 18 万元。其中：</w:t>
      </w:r>
      <w:r>
        <w:rPr>
          <w:rFonts w:ascii="仿宋" w:eastAsia="仿宋" w:hAnsi="仿宋" w:cs="Times New Roman" w:hint="eastAsia"/>
          <w:color w:val="333333"/>
          <w:kern w:val="0"/>
          <w:sz w:val="32"/>
          <w:szCs w:val="32"/>
        </w:rPr>
        <w:t>公务用车购置0万元，</w:t>
      </w:r>
      <w:r w:rsidR="006A5F64" w:rsidRPr="006A5F64">
        <w:rPr>
          <w:rFonts w:ascii="仿宋" w:eastAsia="仿宋" w:hAnsi="仿宋" w:cs="Times New Roman" w:hint="eastAsia"/>
          <w:color w:val="333333"/>
          <w:kern w:val="0"/>
          <w:sz w:val="32"/>
          <w:szCs w:val="32"/>
        </w:rPr>
        <w:t>公务用车运行支出</w:t>
      </w:r>
      <w:r w:rsidR="006A5F64" w:rsidRPr="006A5F64">
        <w:rPr>
          <w:rFonts w:ascii="宋体" w:eastAsia="宋体" w:hAnsi="宋体" w:cs="宋体" w:hint="eastAsia"/>
          <w:color w:val="333333"/>
          <w:kern w:val="0"/>
          <w:sz w:val="32"/>
          <w:szCs w:val="32"/>
        </w:rPr>
        <w:t>  </w:t>
      </w:r>
      <w:r w:rsidR="006A5F64" w:rsidRPr="006A5F64">
        <w:rPr>
          <w:rFonts w:ascii="仿宋" w:eastAsia="仿宋" w:hAnsi="仿宋" w:cs="仿宋" w:hint="eastAsia"/>
          <w:color w:val="333333"/>
          <w:kern w:val="0"/>
          <w:sz w:val="32"/>
          <w:szCs w:val="32"/>
        </w:rPr>
        <w:t xml:space="preserve">18 </w:t>
      </w:r>
      <w:r w:rsidR="006A5F64" w:rsidRPr="006A5F64">
        <w:rPr>
          <w:rFonts w:ascii="仿宋" w:eastAsia="仿宋" w:hAnsi="仿宋" w:cs="Times New Roman" w:hint="eastAsia"/>
          <w:color w:val="333333"/>
          <w:kern w:val="0"/>
          <w:sz w:val="32"/>
          <w:szCs w:val="32"/>
        </w:rPr>
        <w:t>万元，主要用于公务用车运行及维护费。</w:t>
      </w:r>
      <w:r w:rsidR="00FC1A31">
        <w:rPr>
          <w:rFonts w:ascii="仿宋" w:eastAsia="仿宋" w:hAnsi="仿宋" w:cs="Times New Roman" w:hint="eastAsia"/>
          <w:color w:val="333333"/>
          <w:kern w:val="0"/>
          <w:sz w:val="32"/>
          <w:szCs w:val="32"/>
        </w:rPr>
        <w:t>2017年开支财政拨款的公务用车保有量9辆。</w:t>
      </w:r>
      <w:r w:rsidR="006A5F64" w:rsidRPr="006A5F64">
        <w:rPr>
          <w:rFonts w:ascii="仿宋" w:eastAsia="仿宋" w:hAnsi="仿宋" w:cs="Times New Roman" w:hint="eastAsia"/>
          <w:color w:val="333333"/>
          <w:kern w:val="0"/>
          <w:sz w:val="32"/>
          <w:szCs w:val="32"/>
        </w:rPr>
        <w:t>公务用车购置及运行费支出决算比2016年</w:t>
      </w:r>
      <w:r w:rsidR="006A5F64" w:rsidRPr="006A5F64">
        <w:rPr>
          <w:rFonts w:ascii="仿宋" w:eastAsia="仿宋" w:hAnsi="仿宋" w:cs="Times New Roman" w:hint="eastAsia"/>
          <w:color w:val="333333"/>
          <w:kern w:val="0"/>
          <w:sz w:val="32"/>
          <w:szCs w:val="32"/>
          <w:shd w:val="clear" w:color="auto" w:fill="FFFF00"/>
        </w:rPr>
        <w:t>减少</w:t>
      </w:r>
      <w:r w:rsidR="006A5F64" w:rsidRPr="006A5F64">
        <w:rPr>
          <w:rFonts w:ascii="仿宋" w:eastAsia="仿宋" w:hAnsi="仿宋" w:cs="Times New Roman" w:hint="eastAsia"/>
          <w:color w:val="333333"/>
          <w:kern w:val="0"/>
          <w:sz w:val="32"/>
          <w:szCs w:val="32"/>
        </w:rPr>
        <w:t>2万元，</w:t>
      </w:r>
      <w:r w:rsidR="006A5F64" w:rsidRPr="006A5F64">
        <w:rPr>
          <w:rFonts w:ascii="仿宋" w:eastAsia="仿宋" w:hAnsi="仿宋" w:cs="Times New Roman" w:hint="eastAsia"/>
          <w:color w:val="333333"/>
          <w:kern w:val="0"/>
          <w:sz w:val="32"/>
          <w:szCs w:val="32"/>
          <w:shd w:val="clear" w:color="auto" w:fill="FFFF00"/>
        </w:rPr>
        <w:t>下降</w:t>
      </w:r>
      <w:r w:rsidR="006A5F64" w:rsidRPr="006A5F64">
        <w:rPr>
          <w:rFonts w:ascii="仿宋" w:eastAsia="仿宋" w:hAnsi="仿宋" w:cs="Times New Roman" w:hint="eastAsia"/>
          <w:color w:val="333333"/>
          <w:kern w:val="0"/>
          <w:sz w:val="32"/>
          <w:szCs w:val="32"/>
        </w:rPr>
        <w:t xml:space="preserve">10%。主要原因：机关公务用车取消，局属事业单位厉行节约。 </w:t>
      </w:r>
    </w:p>
    <w:p w:rsidR="00497FF5" w:rsidRDefault="00FC1A31" w:rsidP="00497FF5">
      <w:pPr>
        <w:ind w:firstLineChars="200" w:firstLine="640"/>
        <w:rPr>
          <w:rFonts w:ascii="宋体" w:eastAsia="宋体" w:hAnsi="宋体" w:cs="宋体" w:hint="eastAsia"/>
          <w:color w:val="333333"/>
          <w:kern w:val="0"/>
          <w:sz w:val="32"/>
          <w:szCs w:val="32"/>
        </w:rPr>
      </w:pPr>
      <w:r>
        <w:rPr>
          <w:rFonts w:ascii="仿宋" w:eastAsia="仿宋" w:hAnsi="仿宋" w:cs="Times New Roman" w:hint="eastAsia"/>
          <w:color w:val="333333"/>
          <w:kern w:val="0"/>
          <w:sz w:val="32"/>
          <w:szCs w:val="32"/>
        </w:rPr>
        <w:t>3、公务接待费支出0万元。全年国内公务接待0批次，0人次，比上年增加0批次，增加0人次。</w:t>
      </w:r>
      <w:r w:rsidR="006A5F64" w:rsidRPr="006A5F64">
        <w:rPr>
          <w:rFonts w:ascii="宋体" w:eastAsia="宋体" w:hAnsi="宋体" w:cs="宋体" w:hint="eastAsia"/>
          <w:color w:val="333333"/>
          <w:kern w:val="0"/>
          <w:sz w:val="32"/>
          <w:szCs w:val="32"/>
        </w:rPr>
        <w:t> </w:t>
      </w:r>
    </w:p>
    <w:p w:rsidR="00497FF5" w:rsidRDefault="00497FF5" w:rsidP="00497FF5">
      <w:pPr>
        <w:ind w:firstLineChars="200" w:firstLine="640"/>
        <w:rPr>
          <w:rFonts w:ascii="黑体" w:eastAsia="黑体" w:hAnsi="黑体"/>
          <w:sz w:val="32"/>
        </w:rPr>
      </w:pPr>
      <w:r>
        <w:rPr>
          <w:rFonts w:ascii="黑体" w:eastAsia="黑体" w:hAnsi="黑体" w:hint="eastAsia"/>
          <w:sz w:val="32"/>
        </w:rPr>
        <w:t>九、关于2017年度预算绩效管理情况的说明</w:t>
      </w:r>
    </w:p>
    <w:p w:rsidR="00497FF5" w:rsidRDefault="00497FF5" w:rsidP="00497FF5">
      <w:pPr>
        <w:ind w:firstLineChars="200" w:firstLine="640"/>
        <w:rPr>
          <w:rFonts w:ascii="仿宋" w:eastAsia="仿宋" w:hAnsi="仿宋" w:hint="eastAsia"/>
          <w:sz w:val="32"/>
        </w:rPr>
      </w:pPr>
      <w:r>
        <w:rPr>
          <w:rFonts w:ascii="仿宋" w:eastAsia="仿宋" w:hAnsi="仿宋" w:hint="eastAsia"/>
          <w:sz w:val="32"/>
        </w:rPr>
        <w:t>根据预算绩效管理要求，我部门（单位）组织对2017年度一般公共预算项目支出开展绩效自评，自评项目4个，共涉及资金</w:t>
      </w:r>
      <w:r w:rsidR="00273B7C">
        <w:rPr>
          <w:rFonts w:ascii="仿宋" w:eastAsia="仿宋" w:hAnsi="仿宋" w:hint="eastAsia"/>
          <w:sz w:val="32"/>
        </w:rPr>
        <w:t>961</w:t>
      </w:r>
      <w:r>
        <w:rPr>
          <w:rFonts w:ascii="仿宋" w:eastAsia="仿宋" w:hAnsi="仿宋" w:hint="eastAsia"/>
          <w:sz w:val="32"/>
        </w:rPr>
        <w:t>万元，占一般公共预算项目支出总额的</w:t>
      </w:r>
      <w:r w:rsidR="00273B7C">
        <w:rPr>
          <w:rFonts w:ascii="仿宋" w:eastAsia="仿宋" w:hAnsi="仿宋" w:hint="eastAsia"/>
          <w:sz w:val="32"/>
        </w:rPr>
        <w:t>30</w:t>
      </w:r>
      <w:r>
        <w:rPr>
          <w:rFonts w:ascii="仿宋" w:eastAsia="仿宋" w:hAnsi="仿宋" w:hint="eastAsia"/>
          <w:sz w:val="32"/>
        </w:rPr>
        <w:t>%。</w:t>
      </w:r>
    </w:p>
    <w:p w:rsidR="00497FF5" w:rsidRDefault="00497FF5" w:rsidP="00497FF5">
      <w:pPr>
        <w:ind w:firstLineChars="200" w:firstLine="640"/>
        <w:rPr>
          <w:rFonts w:ascii="黑体" w:eastAsia="黑体" w:hAnsi="黑体" w:hint="eastAsia"/>
          <w:sz w:val="32"/>
        </w:rPr>
      </w:pPr>
      <w:r>
        <w:rPr>
          <w:rFonts w:ascii="仿宋" w:eastAsia="仿宋" w:hAnsi="仿宋" w:hint="eastAsia"/>
          <w:sz w:val="32"/>
        </w:rPr>
        <w:lastRenderedPageBreak/>
        <w:t>共组织对</w:t>
      </w:r>
      <w:r w:rsidR="00273B7C">
        <w:rPr>
          <w:rFonts w:ascii="仿宋" w:eastAsia="仿宋" w:hAnsi="仿宋" w:hint="eastAsia"/>
          <w:sz w:val="32"/>
        </w:rPr>
        <w:t>技术推广</w:t>
      </w:r>
      <w:r>
        <w:rPr>
          <w:rFonts w:ascii="仿宋" w:eastAsia="仿宋" w:hAnsi="仿宋" w:hint="eastAsia"/>
          <w:sz w:val="32"/>
        </w:rPr>
        <w:t>等</w:t>
      </w:r>
      <w:r w:rsidR="00273B7C">
        <w:rPr>
          <w:rFonts w:ascii="仿宋" w:eastAsia="仿宋" w:hAnsi="仿宋" w:hint="eastAsia"/>
          <w:sz w:val="32"/>
        </w:rPr>
        <w:t>3</w:t>
      </w:r>
      <w:r>
        <w:rPr>
          <w:rFonts w:ascii="仿宋" w:eastAsia="仿宋" w:hAnsi="仿宋" w:hint="eastAsia"/>
          <w:sz w:val="32"/>
        </w:rPr>
        <w:t>个项目开展了重点绩效评价，涉及一般公共预算支出</w:t>
      </w:r>
      <w:r w:rsidR="00273B7C">
        <w:rPr>
          <w:rFonts w:ascii="仿宋" w:eastAsia="仿宋" w:hAnsi="仿宋" w:hint="eastAsia"/>
          <w:sz w:val="32"/>
        </w:rPr>
        <w:t>106</w:t>
      </w:r>
      <w:r>
        <w:rPr>
          <w:rFonts w:ascii="仿宋" w:eastAsia="仿宋" w:hAnsi="仿宋" w:hint="eastAsia"/>
          <w:sz w:val="32"/>
        </w:rPr>
        <w:t>万元。从评价情况来看，</w:t>
      </w:r>
      <w:r w:rsidR="00273B7C">
        <w:rPr>
          <w:rFonts w:ascii="仿宋" w:eastAsia="仿宋" w:hAnsi="仿宋" w:hint="eastAsia"/>
          <w:sz w:val="32"/>
        </w:rPr>
        <w:t>2017年度预算资金重点支持了畜牧业产业发展，保障了畜牧业生产稳步增长，促进了新农村建设取得了较好的经济社会效益</w:t>
      </w:r>
      <w:r>
        <w:rPr>
          <w:rFonts w:ascii="仿宋" w:eastAsia="仿宋" w:hAnsi="仿宋" w:hint="eastAsia"/>
          <w:sz w:val="32"/>
        </w:rPr>
        <w:t>。</w:t>
      </w:r>
    </w:p>
    <w:p w:rsidR="006A5F64" w:rsidRPr="006A5F64" w:rsidRDefault="006A5F64" w:rsidP="00FC1A31">
      <w:pPr>
        <w:widowControl/>
        <w:spacing w:line="480" w:lineRule="atLeast"/>
        <w:ind w:firstLine="420"/>
        <w:rPr>
          <w:rFonts w:ascii="Times New Roman" w:eastAsia="宋体" w:hAnsi="Times New Roman" w:cs="Times New Roman"/>
          <w:color w:val="333333"/>
          <w:kern w:val="0"/>
          <w:szCs w:val="21"/>
        </w:rPr>
      </w:pP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黑体" w:eastAsia="黑体" w:hAnsi="黑体" w:cs="Times New Roman" w:hint="eastAsia"/>
          <w:color w:val="333333"/>
          <w:kern w:val="0"/>
          <w:sz w:val="32"/>
          <w:szCs w:val="32"/>
        </w:rPr>
        <w:t>十、其他重要事项的情况说明</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楷体" w:eastAsia="楷体" w:hAnsi="楷体" w:cs="Times New Roman" w:hint="eastAsia"/>
          <w:color w:val="333333"/>
          <w:kern w:val="0"/>
          <w:sz w:val="32"/>
          <w:szCs w:val="32"/>
        </w:rPr>
        <w:t>（一）机关运行经费支出情况</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2017年度，机关运行经费支出142万元，比2016年</w:t>
      </w:r>
      <w:r w:rsidRPr="006A5F64">
        <w:rPr>
          <w:rFonts w:ascii="仿宋" w:eastAsia="仿宋" w:hAnsi="仿宋" w:cs="Times New Roman" w:hint="eastAsia"/>
          <w:color w:val="333333"/>
          <w:kern w:val="0"/>
          <w:sz w:val="32"/>
          <w:szCs w:val="32"/>
          <w:shd w:val="clear" w:color="auto" w:fill="FFFF00"/>
        </w:rPr>
        <w:t>增加67万元，增长89 %，</w:t>
      </w:r>
      <w:r w:rsidRPr="006A5F64">
        <w:rPr>
          <w:rFonts w:ascii="仿宋" w:eastAsia="仿宋" w:hAnsi="仿宋" w:cs="Times New Roman" w:hint="eastAsia"/>
          <w:color w:val="333333"/>
          <w:kern w:val="0"/>
          <w:sz w:val="32"/>
          <w:szCs w:val="32"/>
        </w:rPr>
        <w:t>主要是机关事务增加。</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楷体" w:eastAsia="楷体" w:hAnsi="楷体" w:cs="Times New Roman" w:hint="eastAsia"/>
          <w:color w:val="333333"/>
          <w:kern w:val="0"/>
          <w:sz w:val="32"/>
          <w:szCs w:val="32"/>
        </w:rPr>
        <w:t>（二）政府采购支出情况</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rPr>
        <w:t>2017年度，政府采购支出总额169万元，其中：政府采购货物支出169万元、占政府采购支出总额的 100%。</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宋体" w:eastAsia="宋体" w:hAnsi="宋体" w:cs="宋体" w:hint="eastAsia"/>
          <w:color w:val="333333"/>
          <w:kern w:val="0"/>
          <w:sz w:val="32"/>
          <w:szCs w:val="32"/>
        </w:rPr>
        <w:t>    </w:t>
      </w:r>
      <w:r w:rsidRPr="006A5F64">
        <w:rPr>
          <w:rFonts w:ascii="楷体" w:eastAsia="楷体" w:hAnsi="楷体" w:cs="Times New Roman" w:hint="eastAsia"/>
          <w:color w:val="333333"/>
          <w:kern w:val="0"/>
          <w:sz w:val="32"/>
          <w:szCs w:val="32"/>
        </w:rPr>
        <w:t>（三）国有资产占用情况</w:t>
      </w:r>
    </w:p>
    <w:p w:rsidR="003503AB" w:rsidRDefault="006A5F64" w:rsidP="003503AB">
      <w:pPr>
        <w:widowControl/>
        <w:spacing w:line="300" w:lineRule="atLeast"/>
        <w:ind w:firstLine="405"/>
        <w:jc w:val="left"/>
        <w:rPr>
          <w:rFonts w:ascii="宋体" w:eastAsia="宋体" w:hAnsi="宋体" w:cs="宋体"/>
          <w:color w:val="333333"/>
          <w:kern w:val="0"/>
          <w:sz w:val="32"/>
          <w:szCs w:val="32"/>
        </w:rPr>
      </w:pPr>
      <w:r w:rsidRPr="006A5F64">
        <w:rPr>
          <w:rFonts w:ascii="仿宋" w:eastAsia="仿宋" w:hAnsi="仿宋" w:cs="Times New Roman" w:hint="eastAsia"/>
          <w:color w:val="333333"/>
          <w:kern w:val="0"/>
          <w:sz w:val="32"/>
          <w:szCs w:val="32"/>
        </w:rPr>
        <w:t xml:space="preserve">截至2017年12月31日，农安县畜牧业管理局共有车辆 </w:t>
      </w:r>
      <w:r w:rsidRPr="006A5F64">
        <w:rPr>
          <w:rFonts w:ascii="宋体" w:eastAsia="宋体" w:hAnsi="宋体" w:cs="宋体" w:hint="eastAsia"/>
          <w:color w:val="333333"/>
          <w:kern w:val="0"/>
          <w:sz w:val="32"/>
          <w:szCs w:val="32"/>
        </w:rPr>
        <w:t> </w:t>
      </w:r>
      <w:r w:rsidRPr="006A5F64">
        <w:rPr>
          <w:rFonts w:ascii="仿宋" w:eastAsia="仿宋" w:hAnsi="仿宋" w:cs="仿宋" w:hint="eastAsia"/>
          <w:color w:val="333333"/>
          <w:kern w:val="0"/>
          <w:sz w:val="32"/>
          <w:szCs w:val="32"/>
        </w:rPr>
        <w:t>9</w:t>
      </w:r>
      <w:r w:rsidRPr="006A5F64">
        <w:rPr>
          <w:rFonts w:ascii="仿宋" w:eastAsia="仿宋" w:hAnsi="仿宋" w:cs="Times New Roman" w:hint="eastAsia"/>
          <w:color w:val="333333"/>
          <w:kern w:val="0"/>
          <w:sz w:val="32"/>
          <w:szCs w:val="32"/>
        </w:rPr>
        <w:t>辆，</w:t>
      </w:r>
      <w:r w:rsidRPr="006A5F64">
        <w:rPr>
          <w:rFonts w:ascii="仿宋" w:eastAsia="仿宋" w:hAnsi="仿宋" w:cs="Times New Roman" w:hint="eastAsia"/>
          <w:color w:val="333333"/>
          <w:kern w:val="0"/>
          <w:sz w:val="32"/>
          <w:szCs w:val="32"/>
          <w:shd w:val="clear" w:color="auto" w:fill="FFFF00"/>
        </w:rPr>
        <w:t>其中，一般公务用车1辆、一般执法执勤用车4辆、特种专业技术用车4辆。</w:t>
      </w:r>
      <w:r w:rsidR="00F26972">
        <w:rPr>
          <w:rFonts w:ascii="宋体" w:eastAsia="宋体" w:hAnsi="宋体" w:cs="宋体" w:hint="eastAsia"/>
          <w:color w:val="333333"/>
          <w:kern w:val="0"/>
          <w:sz w:val="32"/>
          <w:szCs w:val="32"/>
        </w:rPr>
        <w:t>单价50万元以上通用设备0台（套），单价100万元以上专用设备0台（套）。</w:t>
      </w:r>
    </w:p>
    <w:p w:rsidR="003503AB" w:rsidRDefault="003503AB" w:rsidP="003503AB">
      <w:pPr>
        <w:widowControl/>
        <w:spacing w:line="300" w:lineRule="atLeast"/>
        <w:ind w:firstLine="405"/>
        <w:jc w:val="left"/>
        <w:rPr>
          <w:rFonts w:ascii="宋体" w:eastAsia="宋体" w:hAnsi="宋体" w:cs="宋体"/>
          <w:color w:val="333333"/>
          <w:kern w:val="0"/>
          <w:sz w:val="32"/>
          <w:szCs w:val="32"/>
        </w:rPr>
      </w:pPr>
      <w:r>
        <w:rPr>
          <w:rFonts w:ascii="宋体" w:eastAsia="宋体" w:hAnsi="宋体" w:cs="宋体" w:hint="eastAsia"/>
          <w:color w:val="333333"/>
          <w:kern w:val="0"/>
          <w:sz w:val="32"/>
          <w:szCs w:val="32"/>
        </w:rPr>
        <w:t>根据预算绩效管理要求，我部门组织对2018年度一般公共预算项目支出开展绩效自评，自评项目３个，共涉及资金2182万元，占一般公共预算项目支出总额４８%。</w:t>
      </w:r>
    </w:p>
    <w:p w:rsidR="006A5F64" w:rsidRPr="006A5F64" w:rsidRDefault="003503AB" w:rsidP="003503AB">
      <w:pPr>
        <w:widowControl/>
        <w:spacing w:line="580" w:lineRule="atLeast"/>
        <w:rPr>
          <w:rFonts w:ascii="Times New Roman" w:eastAsia="宋体" w:hAnsi="Times New Roman" w:cs="Times New Roman"/>
          <w:color w:val="333333"/>
          <w:kern w:val="0"/>
          <w:szCs w:val="21"/>
        </w:rPr>
      </w:pPr>
      <w:r>
        <w:rPr>
          <w:rFonts w:ascii="宋体" w:eastAsia="宋体" w:hAnsi="宋体" w:cs="宋体" w:hint="eastAsia"/>
          <w:color w:val="333333"/>
          <w:kern w:val="0"/>
          <w:sz w:val="32"/>
          <w:szCs w:val="32"/>
        </w:rPr>
        <w:t>共组织对省级畜牧业发展自专项资金等２个项目开展了重点绩效评价，涉及一般公共预算支出１１０３万元。从评价</w:t>
      </w:r>
      <w:r>
        <w:rPr>
          <w:rFonts w:ascii="宋体" w:eastAsia="宋体" w:hAnsi="宋体" w:cs="宋体" w:hint="eastAsia"/>
          <w:color w:val="333333"/>
          <w:kern w:val="0"/>
          <w:sz w:val="32"/>
          <w:szCs w:val="32"/>
        </w:rPr>
        <w:lastRenderedPageBreak/>
        <w:t>情况来看，项目开展能够促进我县畜牧业健康发展，促进广大养护积极性，提升了养殖户环保意识，能为乡村振兴作出一定贡献。</w:t>
      </w:r>
      <w:r>
        <w:rPr>
          <w:rFonts w:ascii="宋体" w:eastAsia="宋体" w:hAnsi="宋体" w:cs="宋体" w:hint="eastAsia"/>
          <w:color w:val="333333"/>
          <w:kern w:val="0"/>
          <w:sz w:val="32"/>
          <w:szCs w:val="32"/>
        </w:rPr>
        <w:br/>
      </w:r>
    </w:p>
    <w:p w:rsidR="006A5F64" w:rsidRPr="006A5F64" w:rsidRDefault="006A5F64" w:rsidP="006A5F64">
      <w:pPr>
        <w:widowControl/>
        <w:spacing w:line="480" w:lineRule="atLeast"/>
        <w:jc w:val="center"/>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方正小标宋简体" w:eastAsia="方正小标宋简体" w:hAnsi="Times New Roman" w:cs="Times New Roman" w:hint="eastAsia"/>
          <w:color w:val="333333"/>
          <w:kern w:val="0"/>
          <w:sz w:val="44"/>
          <w:szCs w:val="44"/>
        </w:rPr>
        <w:t>第四部分</w:t>
      </w:r>
      <w:r w:rsidRPr="006A5F64">
        <w:rPr>
          <w:rFonts w:ascii="方正小标宋简体" w:eastAsia="方正小标宋简体" w:hAnsi="Times New Roman" w:cs="Times New Roman" w:hint="eastAsia"/>
          <w:color w:val="333333"/>
          <w:kern w:val="0"/>
          <w:sz w:val="44"/>
          <w:szCs w:val="44"/>
        </w:rPr>
        <w:t>  </w:t>
      </w:r>
      <w:r w:rsidRPr="006A5F64">
        <w:rPr>
          <w:rFonts w:ascii="方正小标宋简体" w:eastAsia="方正小标宋简体" w:hAnsi="Times New Roman" w:cs="Times New Roman" w:hint="eastAsia"/>
          <w:color w:val="333333"/>
          <w:kern w:val="0"/>
          <w:sz w:val="44"/>
          <w:szCs w:val="44"/>
        </w:rPr>
        <w:t>名词解释</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color w:val="333333"/>
          <w:kern w:val="0"/>
          <w:sz w:val="32"/>
          <w:szCs w:val="32"/>
          <w:shd w:val="clear" w:color="auto" w:fill="FFFF00"/>
        </w:rPr>
        <w:t>（以下名词解释，没有的项目删除并重新编辑序号）</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一、财政拨款收入：</w:t>
      </w:r>
      <w:r w:rsidRPr="006A5F64">
        <w:rPr>
          <w:rFonts w:ascii="仿宋" w:eastAsia="仿宋" w:hAnsi="仿宋" w:cs="Times New Roman" w:hint="eastAsia"/>
          <w:color w:val="333333"/>
          <w:kern w:val="0"/>
          <w:sz w:val="32"/>
          <w:szCs w:val="32"/>
        </w:rPr>
        <w:t>指单位从同级财政部门取得的财政预算资金。</w:t>
      </w:r>
    </w:p>
    <w:p w:rsidR="006A5F64" w:rsidRPr="006A5F64" w:rsidRDefault="006A5F64" w:rsidP="006A5F64">
      <w:pPr>
        <w:widowControl/>
        <w:spacing w:line="480"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二、上级补助收入：</w:t>
      </w:r>
      <w:r w:rsidRPr="006A5F64">
        <w:rPr>
          <w:rFonts w:ascii="仿宋" w:eastAsia="仿宋" w:hAnsi="仿宋" w:cs="Times New Roman" w:hint="eastAsia"/>
          <w:color w:val="333333"/>
          <w:kern w:val="0"/>
          <w:sz w:val="32"/>
          <w:szCs w:val="32"/>
        </w:rPr>
        <w:t>指从主管部门和上级单位取得的非财政补助收入。如</w:t>
      </w:r>
      <w:r w:rsidRPr="006A5F64">
        <w:rPr>
          <w:rFonts w:ascii="仿宋" w:eastAsia="仿宋" w:hAnsi="仿宋" w:cs="Times New Roman" w:hint="eastAsia"/>
          <w:color w:val="333333"/>
          <w:kern w:val="0"/>
          <w:sz w:val="32"/>
          <w:szCs w:val="32"/>
          <w:shd w:val="clear" w:color="auto" w:fill="FFFF00"/>
        </w:rPr>
        <w:t>***单位</w:t>
      </w:r>
      <w:r w:rsidRPr="006A5F64">
        <w:rPr>
          <w:rFonts w:ascii="仿宋" w:eastAsia="仿宋" w:hAnsi="仿宋" w:cs="Times New Roman" w:hint="eastAsia"/>
          <w:color w:val="333333"/>
          <w:kern w:val="0"/>
          <w:sz w:val="32"/>
          <w:szCs w:val="32"/>
        </w:rPr>
        <w:t>的</w:t>
      </w:r>
      <w:r w:rsidRPr="006A5F64">
        <w:rPr>
          <w:rFonts w:ascii="仿宋" w:eastAsia="仿宋" w:hAnsi="仿宋" w:cs="Times New Roman" w:hint="eastAsia"/>
          <w:color w:val="333333"/>
          <w:kern w:val="0"/>
          <w:sz w:val="32"/>
          <w:szCs w:val="32"/>
          <w:shd w:val="clear" w:color="auto" w:fill="FFFF00"/>
        </w:rPr>
        <w:t>****收入</w:t>
      </w:r>
      <w:r w:rsidRPr="006A5F64">
        <w:rPr>
          <w:rFonts w:ascii="仿宋" w:eastAsia="仿宋" w:hAnsi="仿宋" w:cs="Times New Roman" w:hint="eastAsia"/>
          <w:color w:val="333333"/>
          <w:kern w:val="0"/>
          <w:sz w:val="32"/>
          <w:szCs w:val="32"/>
        </w:rPr>
        <w:t>。</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三、事业收入：</w:t>
      </w:r>
      <w:r w:rsidRPr="006A5F64">
        <w:rPr>
          <w:rFonts w:ascii="仿宋" w:eastAsia="仿宋" w:hAnsi="仿宋" w:cs="Times New Roman" w:hint="eastAsia"/>
          <w:color w:val="333333"/>
          <w:kern w:val="0"/>
          <w:sz w:val="32"/>
          <w:szCs w:val="32"/>
        </w:rPr>
        <w:t>指事业单位开展专业业务活动及辅助活动取得的收入。如</w:t>
      </w:r>
      <w:r w:rsidRPr="006A5F64">
        <w:rPr>
          <w:rFonts w:ascii="仿宋" w:eastAsia="仿宋" w:hAnsi="仿宋" w:cs="Times New Roman" w:hint="eastAsia"/>
          <w:color w:val="333333"/>
          <w:kern w:val="0"/>
          <w:sz w:val="32"/>
          <w:szCs w:val="32"/>
          <w:shd w:val="clear" w:color="auto" w:fill="FFFF00"/>
        </w:rPr>
        <w:t>***单位</w:t>
      </w:r>
      <w:r w:rsidRPr="006A5F64">
        <w:rPr>
          <w:rFonts w:ascii="仿宋" w:eastAsia="仿宋" w:hAnsi="仿宋" w:cs="Times New Roman" w:hint="eastAsia"/>
          <w:color w:val="333333"/>
          <w:kern w:val="0"/>
          <w:sz w:val="32"/>
          <w:szCs w:val="32"/>
        </w:rPr>
        <w:t>的</w:t>
      </w:r>
      <w:r w:rsidRPr="006A5F64">
        <w:rPr>
          <w:rFonts w:ascii="仿宋" w:eastAsia="仿宋" w:hAnsi="仿宋" w:cs="Times New Roman" w:hint="eastAsia"/>
          <w:color w:val="333333"/>
          <w:kern w:val="0"/>
          <w:sz w:val="32"/>
          <w:szCs w:val="32"/>
          <w:shd w:val="clear" w:color="auto" w:fill="FFFF00"/>
        </w:rPr>
        <w:t>****收入</w:t>
      </w:r>
      <w:r w:rsidRPr="006A5F64">
        <w:rPr>
          <w:rFonts w:ascii="仿宋" w:eastAsia="仿宋" w:hAnsi="仿宋" w:cs="Times New Roman" w:hint="eastAsia"/>
          <w:color w:val="333333"/>
          <w:kern w:val="0"/>
          <w:sz w:val="32"/>
          <w:szCs w:val="32"/>
        </w:rPr>
        <w:t>。</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四、经营收入：</w:t>
      </w:r>
      <w:r w:rsidRPr="006A5F64">
        <w:rPr>
          <w:rFonts w:ascii="仿宋" w:eastAsia="仿宋" w:hAnsi="仿宋" w:cs="Times New Roman" w:hint="eastAsia"/>
          <w:color w:val="333333"/>
          <w:kern w:val="0"/>
          <w:sz w:val="32"/>
          <w:szCs w:val="32"/>
        </w:rPr>
        <w:t>指事业单位在专业业务活动及其辅助活动之外开展非独立核算经营活动取得的收入。如</w:t>
      </w:r>
      <w:r w:rsidRPr="006A5F64">
        <w:rPr>
          <w:rFonts w:ascii="仿宋" w:eastAsia="仿宋" w:hAnsi="仿宋" w:cs="Times New Roman" w:hint="eastAsia"/>
          <w:color w:val="333333"/>
          <w:kern w:val="0"/>
          <w:sz w:val="32"/>
          <w:szCs w:val="32"/>
          <w:shd w:val="clear" w:color="auto" w:fill="FFFF00"/>
        </w:rPr>
        <w:t>***单位</w:t>
      </w:r>
      <w:r w:rsidRPr="006A5F64">
        <w:rPr>
          <w:rFonts w:ascii="仿宋" w:eastAsia="仿宋" w:hAnsi="仿宋" w:cs="Times New Roman" w:hint="eastAsia"/>
          <w:color w:val="333333"/>
          <w:kern w:val="0"/>
          <w:sz w:val="32"/>
          <w:szCs w:val="32"/>
        </w:rPr>
        <w:t>的</w:t>
      </w:r>
      <w:r w:rsidRPr="006A5F64">
        <w:rPr>
          <w:rFonts w:ascii="仿宋" w:eastAsia="仿宋" w:hAnsi="仿宋" w:cs="Times New Roman" w:hint="eastAsia"/>
          <w:color w:val="333333"/>
          <w:kern w:val="0"/>
          <w:sz w:val="32"/>
          <w:szCs w:val="32"/>
          <w:shd w:val="clear" w:color="auto" w:fill="FFFF00"/>
        </w:rPr>
        <w:t>****收入</w:t>
      </w:r>
      <w:r w:rsidRPr="006A5F64">
        <w:rPr>
          <w:rFonts w:ascii="仿宋" w:eastAsia="仿宋" w:hAnsi="仿宋" w:cs="Times New Roman" w:hint="eastAsia"/>
          <w:color w:val="333333"/>
          <w:kern w:val="0"/>
          <w:sz w:val="32"/>
          <w:szCs w:val="32"/>
        </w:rPr>
        <w:t>。</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五、附属单位上缴收入：</w:t>
      </w:r>
      <w:r w:rsidRPr="006A5F64">
        <w:rPr>
          <w:rFonts w:ascii="仿宋" w:eastAsia="仿宋" w:hAnsi="仿宋" w:cs="Times New Roman" w:hint="eastAsia"/>
          <w:color w:val="333333"/>
          <w:kern w:val="0"/>
          <w:sz w:val="32"/>
          <w:szCs w:val="32"/>
        </w:rPr>
        <w:t>指事业单位附属独立核算单位按照有关规定上缴的收入。如</w:t>
      </w:r>
      <w:r w:rsidRPr="006A5F64">
        <w:rPr>
          <w:rFonts w:ascii="仿宋" w:eastAsia="仿宋" w:hAnsi="仿宋" w:cs="Times New Roman" w:hint="eastAsia"/>
          <w:color w:val="333333"/>
          <w:kern w:val="0"/>
          <w:sz w:val="32"/>
          <w:szCs w:val="32"/>
          <w:shd w:val="clear" w:color="auto" w:fill="FFFF00"/>
        </w:rPr>
        <w:t>***单位</w:t>
      </w:r>
      <w:r w:rsidRPr="006A5F64">
        <w:rPr>
          <w:rFonts w:ascii="仿宋" w:eastAsia="仿宋" w:hAnsi="仿宋" w:cs="Times New Roman" w:hint="eastAsia"/>
          <w:color w:val="333333"/>
          <w:kern w:val="0"/>
          <w:sz w:val="32"/>
          <w:szCs w:val="32"/>
        </w:rPr>
        <w:t>上缴的</w:t>
      </w:r>
      <w:r w:rsidRPr="006A5F64">
        <w:rPr>
          <w:rFonts w:ascii="仿宋" w:eastAsia="仿宋" w:hAnsi="仿宋" w:cs="Times New Roman" w:hint="eastAsia"/>
          <w:color w:val="333333"/>
          <w:kern w:val="0"/>
          <w:sz w:val="32"/>
          <w:szCs w:val="32"/>
          <w:shd w:val="clear" w:color="auto" w:fill="FFFF00"/>
        </w:rPr>
        <w:t>****收入</w:t>
      </w:r>
      <w:r w:rsidRPr="006A5F64">
        <w:rPr>
          <w:rFonts w:ascii="仿宋" w:eastAsia="仿宋" w:hAnsi="仿宋" w:cs="Times New Roman" w:hint="eastAsia"/>
          <w:color w:val="333333"/>
          <w:kern w:val="0"/>
          <w:sz w:val="32"/>
          <w:szCs w:val="32"/>
        </w:rPr>
        <w:t>。</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六、其他收入：</w:t>
      </w:r>
      <w:r w:rsidRPr="006A5F64">
        <w:rPr>
          <w:rFonts w:ascii="仿宋" w:eastAsia="仿宋" w:hAnsi="仿宋" w:cs="Times New Roman" w:hint="eastAsia"/>
          <w:color w:val="333333"/>
          <w:kern w:val="0"/>
          <w:sz w:val="32"/>
          <w:szCs w:val="32"/>
        </w:rPr>
        <w:t>指除上述收入以外的各项收入。</w:t>
      </w:r>
      <w:r w:rsidRPr="006A5F64">
        <w:rPr>
          <w:rFonts w:ascii="仿宋" w:eastAsia="仿宋" w:hAnsi="仿宋" w:cs="Times New Roman" w:hint="eastAsia"/>
          <w:color w:val="333333"/>
          <w:kern w:val="0"/>
          <w:sz w:val="32"/>
          <w:szCs w:val="32"/>
          <w:shd w:val="clear" w:color="auto" w:fill="FFFF00"/>
        </w:rPr>
        <w:t>包括未纳入财政预算或财政专户管理的投资收益、银行存款利息收入、租金收入、捐赠收入，现金盘盈收入、存货盘盈收入、收回已核销应收及预付款项、无法偿付的应付及预收款项，从省财政以外的同级单位取得的经费、从非省财政取得的经费，</w:t>
      </w:r>
      <w:r w:rsidRPr="006A5F64">
        <w:rPr>
          <w:rFonts w:ascii="仿宋" w:eastAsia="仿宋" w:hAnsi="仿宋" w:cs="Times New Roman" w:hint="eastAsia"/>
          <w:color w:val="333333"/>
          <w:kern w:val="0"/>
          <w:sz w:val="32"/>
          <w:szCs w:val="32"/>
          <w:shd w:val="clear" w:color="auto" w:fill="FFFF00"/>
        </w:rPr>
        <w:lastRenderedPageBreak/>
        <w:t>以及行政单位收到的财政专户管理资金等。（只保留部门已发生的收入明细，未发生的收入明细删掉）</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七、用事业基金弥补收支差额：</w:t>
      </w:r>
      <w:r w:rsidRPr="006A5F64">
        <w:rPr>
          <w:rFonts w:ascii="仿宋" w:eastAsia="仿宋" w:hAnsi="仿宋" w:cs="Times New Roman" w:hint="eastAsia"/>
          <w:color w:val="333333"/>
          <w:kern w:val="0"/>
          <w:sz w:val="32"/>
          <w:szCs w:val="32"/>
        </w:rPr>
        <w:t>指事业单位在当年的财政拨款收入、事业收入和其他收入不足以安排当年支出的情况下，使用以前年度积累的事业基金（事业单位当年收支相抵后按国家规定提取、用于弥补以后年度收支差额的基金）弥补本年度收支缺口的资金。</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八、年初结转和结余：</w:t>
      </w:r>
      <w:r w:rsidRPr="006A5F64">
        <w:rPr>
          <w:rFonts w:ascii="仿宋" w:eastAsia="仿宋" w:hAnsi="仿宋" w:cs="Times New Roman" w:hint="eastAsia"/>
          <w:color w:val="333333"/>
          <w:kern w:val="0"/>
          <w:sz w:val="32"/>
          <w:szCs w:val="32"/>
        </w:rPr>
        <w:t>指单位以前年度尚未完成、结转到本年按有关规定继续使用的资金。</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九、结余分配：</w:t>
      </w:r>
      <w:r w:rsidRPr="006A5F64">
        <w:rPr>
          <w:rFonts w:ascii="仿宋" w:eastAsia="仿宋" w:hAnsi="仿宋" w:cs="Times New Roman" w:hint="eastAsia"/>
          <w:color w:val="333333"/>
          <w:kern w:val="0"/>
          <w:sz w:val="32"/>
          <w:szCs w:val="32"/>
        </w:rPr>
        <w:t>指事业单位按照会计制度规定缴纳的所得税以及从非财政补助结余提取的职工福利基金、事业基金等。</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十、年末结转和结余：</w:t>
      </w:r>
      <w:r w:rsidRPr="006A5F64">
        <w:rPr>
          <w:rFonts w:ascii="仿宋" w:eastAsia="仿宋" w:hAnsi="仿宋" w:cs="Times New Roman" w:hint="eastAsia"/>
          <w:color w:val="333333"/>
          <w:kern w:val="0"/>
          <w:sz w:val="32"/>
          <w:szCs w:val="32"/>
        </w:rPr>
        <w:t>指单位按有关规定结转到下年或以后年度继续使用的资金。</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十一、基本支出：</w:t>
      </w:r>
      <w:r w:rsidRPr="006A5F64">
        <w:rPr>
          <w:rFonts w:ascii="仿宋" w:eastAsia="仿宋" w:hAnsi="仿宋" w:cs="Times New Roman" w:hint="eastAsia"/>
          <w:color w:val="333333"/>
          <w:kern w:val="0"/>
          <w:sz w:val="32"/>
          <w:szCs w:val="32"/>
        </w:rPr>
        <w:t>指单位为保障其机构正常运转、完成日常工作任务而发生的人员支出和公用支出。</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十二、项目支出：</w:t>
      </w:r>
      <w:r w:rsidRPr="006A5F64">
        <w:rPr>
          <w:rFonts w:ascii="仿宋" w:eastAsia="仿宋" w:hAnsi="仿宋" w:cs="Times New Roman" w:hint="eastAsia"/>
          <w:color w:val="333333"/>
          <w:kern w:val="0"/>
          <w:sz w:val="32"/>
          <w:szCs w:val="32"/>
        </w:rPr>
        <w:t>指单位为完成特定行政任务和事业发展目标在基本支出之外所发生的支出。</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十三、经营支出：</w:t>
      </w:r>
      <w:r w:rsidRPr="006A5F64">
        <w:rPr>
          <w:rFonts w:ascii="仿宋" w:eastAsia="仿宋" w:hAnsi="仿宋" w:cs="Times New Roman" w:hint="eastAsia"/>
          <w:color w:val="333333"/>
          <w:kern w:val="0"/>
          <w:sz w:val="32"/>
          <w:szCs w:val="32"/>
        </w:rPr>
        <w:t>指事业单位在专业业务活动及其辅助活动之外开展非独立核算经营活动发生的支出。</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十四、上缴上级支出：</w:t>
      </w:r>
      <w:r w:rsidRPr="006A5F64">
        <w:rPr>
          <w:rFonts w:ascii="仿宋" w:eastAsia="仿宋" w:hAnsi="仿宋" w:cs="Times New Roman" w:hint="eastAsia"/>
          <w:color w:val="333333"/>
          <w:kern w:val="0"/>
          <w:sz w:val="32"/>
          <w:szCs w:val="32"/>
        </w:rPr>
        <w:t>指事业单位按照有关规定上缴上级单位的支出。主要是</w:t>
      </w:r>
      <w:r w:rsidRPr="006A5F64">
        <w:rPr>
          <w:rFonts w:ascii="仿宋" w:eastAsia="仿宋" w:hAnsi="仿宋" w:cs="Times New Roman" w:hint="eastAsia"/>
          <w:color w:val="333333"/>
          <w:kern w:val="0"/>
          <w:sz w:val="32"/>
          <w:szCs w:val="32"/>
          <w:shd w:val="clear" w:color="auto" w:fill="FFFF00"/>
        </w:rPr>
        <w:t>*****（单位名称）</w:t>
      </w:r>
      <w:r w:rsidRPr="006A5F64">
        <w:rPr>
          <w:rFonts w:ascii="仿宋" w:eastAsia="仿宋" w:hAnsi="仿宋" w:cs="Times New Roman" w:hint="eastAsia"/>
          <w:color w:val="333333"/>
          <w:kern w:val="0"/>
          <w:sz w:val="32"/>
          <w:szCs w:val="32"/>
        </w:rPr>
        <w:t>上缴给</w:t>
      </w:r>
      <w:r w:rsidRPr="006A5F64">
        <w:rPr>
          <w:rFonts w:ascii="仿宋" w:eastAsia="仿宋" w:hAnsi="仿宋" w:cs="Times New Roman" w:hint="eastAsia"/>
          <w:color w:val="333333"/>
          <w:kern w:val="0"/>
          <w:sz w:val="32"/>
          <w:szCs w:val="32"/>
          <w:shd w:val="clear" w:color="auto" w:fill="FFFF00"/>
        </w:rPr>
        <w:t>****（单位名称）</w:t>
      </w:r>
      <w:r w:rsidRPr="006A5F64">
        <w:rPr>
          <w:rFonts w:ascii="仿宋" w:eastAsia="仿宋" w:hAnsi="仿宋" w:cs="Times New Roman" w:hint="eastAsia"/>
          <w:color w:val="333333"/>
          <w:kern w:val="0"/>
          <w:sz w:val="32"/>
          <w:szCs w:val="32"/>
        </w:rPr>
        <w:t>的</w:t>
      </w:r>
      <w:r w:rsidRPr="006A5F64">
        <w:rPr>
          <w:rFonts w:ascii="仿宋" w:eastAsia="仿宋" w:hAnsi="仿宋" w:cs="Times New Roman" w:hint="eastAsia"/>
          <w:color w:val="333333"/>
          <w:kern w:val="0"/>
          <w:sz w:val="32"/>
          <w:szCs w:val="32"/>
          <w:shd w:val="clear" w:color="auto" w:fill="FFFF00"/>
        </w:rPr>
        <w:t>****（资金名称）</w:t>
      </w:r>
      <w:r w:rsidRPr="006A5F64">
        <w:rPr>
          <w:rFonts w:ascii="仿宋" w:eastAsia="仿宋" w:hAnsi="仿宋" w:cs="Times New Roman" w:hint="eastAsia"/>
          <w:color w:val="333333"/>
          <w:kern w:val="0"/>
          <w:sz w:val="32"/>
          <w:szCs w:val="32"/>
        </w:rPr>
        <w:t>资金。</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仿宋" w:eastAsia="仿宋" w:hAnsi="仿宋" w:cs="Times New Roman" w:hint="eastAsia"/>
          <w:b/>
          <w:bCs/>
          <w:color w:val="333333"/>
          <w:kern w:val="0"/>
          <w:sz w:val="32"/>
          <w:szCs w:val="32"/>
        </w:rPr>
        <w:t>十五、对附属单位补助支出：</w:t>
      </w:r>
      <w:r w:rsidRPr="006A5F64">
        <w:rPr>
          <w:rFonts w:ascii="仿宋" w:eastAsia="仿宋" w:hAnsi="仿宋" w:cs="Times New Roman" w:hint="eastAsia"/>
          <w:color w:val="333333"/>
          <w:kern w:val="0"/>
          <w:sz w:val="32"/>
          <w:szCs w:val="32"/>
        </w:rPr>
        <w:t>指事业单位用财政补助收入之外的收入对附属单位补助发生的支出。</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十六、“三公”经费：</w:t>
      </w:r>
      <w:r w:rsidRPr="006A5F64">
        <w:rPr>
          <w:rFonts w:ascii="仿宋" w:eastAsia="仿宋" w:hAnsi="仿宋" w:cs="Times New Roman" w:hint="eastAsia"/>
          <w:color w:val="333333"/>
          <w:kern w:val="0"/>
          <w:sz w:val="32"/>
          <w:szCs w:val="32"/>
        </w:rPr>
        <w:t>纳入省级财政预决算管理的“三公”经费，是指省级部门用财政拨示安排的因公出国（境）费、公务用车购置及运行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十七、机关运行经费：</w:t>
      </w:r>
      <w:r w:rsidRPr="006A5F64">
        <w:rPr>
          <w:rFonts w:ascii="仿宋" w:eastAsia="仿宋" w:hAnsi="仿宋" w:cs="Times New Roman" w:hint="eastAsia"/>
          <w:color w:val="333333"/>
          <w:kern w:val="0"/>
          <w:sz w:val="32"/>
          <w:szCs w:val="32"/>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rPr>
        <w:t>十八、</w:t>
      </w:r>
      <w:r w:rsidRPr="006A5F64">
        <w:rPr>
          <w:rFonts w:ascii="仿宋" w:eastAsia="仿宋" w:hAnsi="仿宋" w:cs="Times New Roman" w:hint="eastAsia"/>
          <w:b/>
          <w:bCs/>
          <w:color w:val="333333"/>
          <w:kern w:val="0"/>
          <w:sz w:val="32"/>
          <w:szCs w:val="32"/>
          <w:shd w:val="clear" w:color="auto" w:fill="FFFF00"/>
        </w:rPr>
        <w:t>******</w:t>
      </w:r>
      <w:r w:rsidRPr="006A5F64">
        <w:rPr>
          <w:rFonts w:ascii="仿宋" w:eastAsia="仿宋" w:hAnsi="仿宋" w:cs="Times New Roman" w:hint="eastAsia"/>
          <w:color w:val="333333"/>
          <w:kern w:val="0"/>
          <w:sz w:val="32"/>
          <w:szCs w:val="32"/>
          <w:shd w:val="clear" w:color="auto" w:fill="FFFF00"/>
        </w:rPr>
        <w:t>（对部门使用的所有“项”级政府收支分类科目，参照《2017年政府收支分类科目》中的科目说明和中央部门决算公开模板进行说明）：</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shd w:val="clear" w:color="auto" w:fill="FFFF00"/>
        </w:rPr>
        <w:t>十九、</w:t>
      </w:r>
      <w:r w:rsidRPr="006A5F64">
        <w:rPr>
          <w:rFonts w:ascii="仿宋" w:eastAsia="仿宋" w:hAnsi="仿宋" w:cs="Times New Roman" w:hint="eastAsia"/>
          <w:color w:val="333333"/>
          <w:kern w:val="0"/>
          <w:sz w:val="32"/>
          <w:szCs w:val="32"/>
          <w:shd w:val="clear" w:color="auto" w:fill="FFFF00"/>
        </w:rPr>
        <w:t>……（同上）</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lastRenderedPageBreak/>
        <w:t xml:space="preserve">　　</w:t>
      </w:r>
      <w:r w:rsidRPr="006A5F64">
        <w:rPr>
          <w:rFonts w:ascii="仿宋" w:eastAsia="仿宋" w:hAnsi="仿宋" w:cs="Times New Roman" w:hint="eastAsia"/>
          <w:b/>
          <w:bCs/>
          <w:color w:val="333333"/>
          <w:kern w:val="0"/>
          <w:sz w:val="32"/>
          <w:szCs w:val="32"/>
          <w:shd w:val="clear" w:color="auto" w:fill="FFFF00"/>
        </w:rPr>
        <w:t>注意事项：1、各部门在公开时一定要做好文档编辑，将无关内容删除。</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shd w:val="clear" w:color="auto" w:fill="FFFF00"/>
        </w:rPr>
        <w:t>2、年份使用“年度”表述，如2016年度、2017年度（固定表述除外，如“2017年12月31日”不需使用年度）。</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shd w:val="clear" w:color="auto" w:fill="FFFF00"/>
        </w:rPr>
        <w:t>3、名词解释要以财务会计制度、政府收支分类科目以及部门预算管理等规定为基本说明，可在此基础上结合部门实际情况适当细化。</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shd w:val="clear" w:color="auto" w:fill="FFFF00"/>
        </w:rPr>
        <w:t>4、固定格式的公开表（公开01、04、06表）中零值指标可不列示；其中公开04表应保留政府性基金预算财政拨款收支零值指标，可精简功能分类科目的零值指标。</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shd w:val="clear" w:color="auto" w:fill="FFFF00"/>
        </w:rPr>
        <w:t>5、关于小数位。金额数值应当保留两位小数，如末位为0不需保留小数位（例如：1000万元，100.3万元）；百分比应当保留1位小数，如末位为0需保留（例如：18.0%）。</w:t>
      </w:r>
    </w:p>
    <w:p w:rsidR="006A5F64" w:rsidRPr="006A5F64" w:rsidRDefault="006A5F64" w:rsidP="006A5F64">
      <w:pPr>
        <w:widowControl/>
        <w:spacing w:line="315" w:lineRule="atLeast"/>
        <w:rPr>
          <w:rFonts w:ascii="Times New Roman" w:eastAsia="宋体" w:hAnsi="Times New Roman" w:cs="Times New Roman"/>
          <w:color w:val="333333"/>
          <w:kern w:val="0"/>
          <w:szCs w:val="21"/>
        </w:rPr>
      </w:pPr>
      <w:r w:rsidRPr="006A5F64">
        <w:rPr>
          <w:rFonts w:ascii="Times New Roman" w:eastAsia="宋体" w:hAnsi="Times New Roman" w:cs="Times New Roman"/>
          <w:color w:val="333333"/>
          <w:kern w:val="0"/>
          <w:szCs w:val="21"/>
        </w:rPr>
        <w:t xml:space="preserve">　　</w:t>
      </w:r>
      <w:r w:rsidRPr="006A5F64">
        <w:rPr>
          <w:rFonts w:ascii="仿宋" w:eastAsia="仿宋" w:hAnsi="仿宋" w:cs="Times New Roman" w:hint="eastAsia"/>
          <w:b/>
          <w:bCs/>
          <w:color w:val="333333"/>
          <w:kern w:val="0"/>
          <w:sz w:val="32"/>
          <w:szCs w:val="32"/>
          <w:shd w:val="clear" w:color="auto" w:fill="FFFF00"/>
        </w:rPr>
        <w:t>6、各部门（单位）参照该模版的同时，要参照上级（中央级）主管部门的信息公开情况，完善公开内容，确保公开的完整、规范。</w:t>
      </w:r>
    </w:p>
    <w:p w:rsidR="005223AE" w:rsidRDefault="005223AE"/>
    <w:sectPr w:rsidR="005223AE" w:rsidSect="005223A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A5F64"/>
    <w:rsid w:val="00130569"/>
    <w:rsid w:val="00273B7C"/>
    <w:rsid w:val="003503AB"/>
    <w:rsid w:val="00497FF5"/>
    <w:rsid w:val="005223AE"/>
    <w:rsid w:val="006A5F64"/>
    <w:rsid w:val="00AA2E0F"/>
    <w:rsid w:val="00B336C6"/>
    <w:rsid w:val="00D877AB"/>
    <w:rsid w:val="00DE077A"/>
    <w:rsid w:val="00F26972"/>
    <w:rsid w:val="00FC1A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3AE"/>
    <w:pPr>
      <w:widowControl w:val="0"/>
      <w:jc w:val="both"/>
    </w:pPr>
  </w:style>
  <w:style w:type="paragraph" w:styleId="2">
    <w:name w:val="heading 2"/>
    <w:basedOn w:val="a"/>
    <w:link w:val="2Char"/>
    <w:uiPriority w:val="9"/>
    <w:qFormat/>
    <w:rsid w:val="006A5F64"/>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6A5F6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6A5F64"/>
    <w:rPr>
      <w:rFonts w:ascii="宋体" w:eastAsia="宋体" w:hAnsi="宋体" w:cs="宋体"/>
      <w:b/>
      <w:bCs/>
      <w:kern w:val="0"/>
      <w:sz w:val="36"/>
      <w:szCs w:val="36"/>
    </w:rPr>
  </w:style>
  <w:style w:type="character" w:customStyle="1" w:styleId="3Char">
    <w:name w:val="标题 3 Char"/>
    <w:basedOn w:val="a0"/>
    <w:link w:val="3"/>
    <w:uiPriority w:val="9"/>
    <w:rsid w:val="006A5F64"/>
    <w:rPr>
      <w:rFonts w:ascii="宋体" w:eastAsia="宋体" w:hAnsi="宋体" w:cs="宋体"/>
      <w:b/>
      <w:bCs/>
      <w:kern w:val="0"/>
      <w:sz w:val="27"/>
      <w:szCs w:val="27"/>
    </w:rPr>
  </w:style>
  <w:style w:type="character" w:styleId="a3">
    <w:name w:val="Hyperlink"/>
    <w:basedOn w:val="a0"/>
    <w:uiPriority w:val="99"/>
    <w:semiHidden/>
    <w:unhideWhenUsed/>
    <w:rsid w:val="006A5F64"/>
    <w:rPr>
      <w:strike w:val="0"/>
      <w:dstrike w:val="0"/>
      <w:color w:val="0000FF"/>
      <w:u w:val="none"/>
      <w:effect w:val="none"/>
    </w:rPr>
  </w:style>
  <w:style w:type="character" w:styleId="a4">
    <w:name w:val="FollowedHyperlink"/>
    <w:basedOn w:val="a0"/>
    <w:uiPriority w:val="99"/>
    <w:semiHidden/>
    <w:unhideWhenUsed/>
    <w:rsid w:val="006A5F64"/>
    <w:rPr>
      <w:strike w:val="0"/>
      <w:dstrike w:val="0"/>
      <w:color w:val="800080"/>
      <w:u w:val="none"/>
      <w:effect w:val="none"/>
    </w:rPr>
  </w:style>
  <w:style w:type="paragraph" w:styleId="a5">
    <w:name w:val="Normal (Web)"/>
    <w:basedOn w:val="a"/>
    <w:uiPriority w:val="99"/>
    <w:semiHidden/>
    <w:unhideWhenUsed/>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clearfix">
    <w:name w:val="clearfix"/>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jbtop">
    <w:name w:val="jb_top"/>
    <w:basedOn w:val="a"/>
    <w:rsid w:val="006A5F64"/>
    <w:pPr>
      <w:widowControl/>
      <w:pBdr>
        <w:bottom w:val="single" w:sz="6" w:space="0" w:color="CCCCCC"/>
      </w:pBdr>
      <w:spacing w:before="100" w:beforeAutospacing="1" w:after="100" w:afterAutospacing="1"/>
      <w:jc w:val="left"/>
    </w:pPr>
    <w:rPr>
      <w:rFonts w:ascii="宋体" w:eastAsia="宋体" w:hAnsi="宋体" w:cs="宋体"/>
      <w:kern w:val="0"/>
      <w:sz w:val="24"/>
      <w:szCs w:val="24"/>
    </w:rPr>
  </w:style>
  <w:style w:type="paragraph" w:customStyle="1" w:styleId="jbtop1">
    <w:name w:val="jb_top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con">
    <w:name w:val="con"/>
    <w:basedOn w:val="a"/>
    <w:rsid w:val="006A5F64"/>
    <w:pPr>
      <w:widowControl/>
      <w:spacing w:before="100" w:beforeAutospacing="1" w:after="150"/>
      <w:jc w:val="left"/>
    </w:pPr>
    <w:rPr>
      <w:rFonts w:ascii="宋体" w:eastAsia="宋体" w:hAnsi="宋体" w:cs="宋体"/>
      <w:kern w:val="0"/>
      <w:sz w:val="24"/>
      <w:szCs w:val="24"/>
    </w:rPr>
  </w:style>
  <w:style w:type="paragraph" w:customStyle="1" w:styleId="jbding1">
    <w:name w:val="jb_ding1"/>
    <w:basedOn w:val="a"/>
    <w:rsid w:val="006A5F64"/>
    <w:pPr>
      <w:widowControl/>
      <w:spacing w:before="300" w:after="300"/>
      <w:jc w:val="left"/>
    </w:pPr>
    <w:rPr>
      <w:rFonts w:ascii="宋体" w:eastAsia="宋体" w:hAnsi="宋体" w:cs="宋体"/>
      <w:kern w:val="0"/>
      <w:sz w:val="24"/>
      <w:szCs w:val="24"/>
    </w:rPr>
  </w:style>
  <w:style w:type="paragraph" w:customStyle="1" w:styleId="jblogo">
    <w:name w:val="jb_logo"/>
    <w:basedOn w:val="a"/>
    <w:rsid w:val="006A5F64"/>
    <w:pPr>
      <w:widowControl/>
      <w:spacing w:before="100" w:beforeAutospacing="1" w:after="100" w:afterAutospacing="1"/>
      <w:jc w:val="center"/>
    </w:pPr>
    <w:rPr>
      <w:rFonts w:ascii="宋体" w:eastAsia="宋体" w:hAnsi="宋体" w:cs="宋体"/>
      <w:kern w:val="0"/>
      <w:sz w:val="24"/>
      <w:szCs w:val="24"/>
    </w:rPr>
  </w:style>
  <w:style w:type="paragraph" w:customStyle="1" w:styleId="jbsousuo">
    <w:name w:val="jb_sousuo"/>
    <w:basedOn w:val="a"/>
    <w:rsid w:val="006A5F64"/>
    <w:pPr>
      <w:widowControl/>
      <w:pBdr>
        <w:top w:val="single" w:sz="12" w:space="0" w:color="FEFEFE"/>
        <w:left w:val="single" w:sz="12" w:space="0" w:color="FEFEFE"/>
        <w:bottom w:val="single" w:sz="12" w:space="0" w:color="FEFEFE"/>
        <w:right w:val="single" w:sz="12" w:space="0" w:color="FEFEFE"/>
      </w:pBdr>
      <w:jc w:val="left"/>
    </w:pPr>
    <w:rPr>
      <w:rFonts w:ascii="宋体" w:eastAsia="宋体" w:hAnsi="宋体" w:cs="宋体"/>
      <w:kern w:val="0"/>
      <w:sz w:val="24"/>
      <w:szCs w:val="24"/>
    </w:rPr>
  </w:style>
  <w:style w:type="paragraph" w:customStyle="1" w:styleId="jb-sstext">
    <w:name w:val="jb-sstext"/>
    <w:basedOn w:val="a"/>
    <w:rsid w:val="006A5F64"/>
    <w:pPr>
      <w:widowControl/>
      <w:spacing w:before="100" w:beforeAutospacing="1" w:after="100" w:afterAutospacing="1" w:line="690" w:lineRule="atLeast"/>
      <w:jc w:val="left"/>
    </w:pPr>
    <w:rPr>
      <w:rFonts w:ascii="宋体" w:eastAsia="宋体" w:hAnsi="宋体" w:cs="宋体"/>
      <w:color w:val="3B4567"/>
      <w:kern w:val="0"/>
      <w:sz w:val="24"/>
      <w:szCs w:val="24"/>
    </w:rPr>
  </w:style>
  <w:style w:type="paragraph" w:customStyle="1" w:styleId="jb-ssbutton">
    <w:name w:val="jb-ssbutton"/>
    <w:basedOn w:val="a"/>
    <w:rsid w:val="006A5F64"/>
    <w:pPr>
      <w:widowControl/>
      <w:shd w:val="clear" w:color="auto" w:fill="823A92"/>
      <w:spacing w:before="100" w:beforeAutospacing="1" w:after="100" w:afterAutospacing="1"/>
      <w:jc w:val="left"/>
    </w:pPr>
    <w:rPr>
      <w:rFonts w:ascii="宋体" w:eastAsia="宋体" w:hAnsi="宋体" w:cs="宋体"/>
      <w:kern w:val="0"/>
      <w:sz w:val="24"/>
      <w:szCs w:val="24"/>
    </w:rPr>
  </w:style>
  <w:style w:type="paragraph" w:customStyle="1" w:styleId="jbbsdt">
    <w:name w:val="jb_bsdt"/>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jbewm">
    <w:name w:val="jb_ewm"/>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jbxh">
    <w:name w:val="jb_xh"/>
    <w:basedOn w:val="a"/>
    <w:rsid w:val="006A5F64"/>
    <w:pPr>
      <w:widowControl/>
      <w:spacing w:before="150" w:after="100" w:afterAutospacing="1"/>
      <w:jc w:val="left"/>
    </w:pPr>
    <w:rPr>
      <w:rFonts w:ascii="宋体" w:eastAsia="宋体" w:hAnsi="宋体" w:cs="宋体"/>
      <w:kern w:val="0"/>
      <w:sz w:val="24"/>
      <w:szCs w:val="24"/>
    </w:rPr>
  </w:style>
  <w:style w:type="paragraph" w:customStyle="1" w:styleId="banner">
    <w:name w:val="banner"/>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dhcon">
    <w:name w:val="dhcon"/>
    <w:basedOn w:val="a"/>
    <w:rsid w:val="006A5F64"/>
    <w:pPr>
      <w:widowControl/>
      <w:shd w:val="clear" w:color="auto" w:fill="18123B"/>
      <w:spacing w:before="100" w:beforeAutospacing="1" w:after="100" w:afterAutospacing="1"/>
      <w:jc w:val="left"/>
    </w:pPr>
    <w:rPr>
      <w:rFonts w:ascii="宋体" w:eastAsia="宋体" w:hAnsi="宋体" w:cs="宋体"/>
      <w:kern w:val="0"/>
      <w:sz w:val="24"/>
      <w:szCs w:val="24"/>
    </w:rPr>
  </w:style>
  <w:style w:type="paragraph" w:customStyle="1" w:styleId="content">
    <w:name w:val="content"/>
    <w:basedOn w:val="a"/>
    <w:rsid w:val="006A5F64"/>
    <w:pPr>
      <w:widowControl/>
      <w:spacing w:before="150" w:after="300"/>
      <w:jc w:val="left"/>
    </w:pPr>
    <w:rPr>
      <w:rFonts w:ascii="宋体" w:eastAsia="宋体" w:hAnsi="宋体" w:cs="宋体"/>
      <w:kern w:val="0"/>
      <w:sz w:val="24"/>
      <w:szCs w:val="24"/>
    </w:rPr>
  </w:style>
  <w:style w:type="paragraph" w:customStyle="1" w:styleId="mbx">
    <w:name w:val="mbx"/>
    <w:basedOn w:val="a"/>
    <w:rsid w:val="006A5F64"/>
    <w:pPr>
      <w:widowControl/>
      <w:spacing w:before="100" w:beforeAutospacing="1" w:after="150"/>
      <w:jc w:val="left"/>
    </w:pPr>
    <w:rPr>
      <w:rFonts w:ascii="宋体" w:eastAsia="宋体" w:hAnsi="宋体" w:cs="宋体"/>
      <w:kern w:val="0"/>
      <w:sz w:val="24"/>
      <w:szCs w:val="24"/>
    </w:rPr>
  </w:style>
  <w:style w:type="paragraph" w:customStyle="1" w:styleId="leftbar">
    <w:name w:val="leftbar"/>
    <w:basedOn w:val="a"/>
    <w:rsid w:val="006A5F64"/>
    <w:pPr>
      <w:widowControl/>
      <w:pBdr>
        <w:top w:val="single" w:sz="6" w:space="0" w:color="E9E9E9"/>
        <w:left w:val="single" w:sz="6" w:space="0" w:color="E9E9E9"/>
        <w:right w:val="single" w:sz="6" w:space="0" w:color="E9E9E9"/>
      </w:pBdr>
      <w:spacing w:before="100" w:beforeAutospacing="1" w:after="100" w:afterAutospacing="1"/>
      <w:jc w:val="left"/>
    </w:pPr>
    <w:rPr>
      <w:rFonts w:ascii="宋体" w:eastAsia="宋体" w:hAnsi="宋体" w:cs="宋体"/>
      <w:kern w:val="0"/>
      <w:sz w:val="24"/>
      <w:szCs w:val="24"/>
    </w:rPr>
  </w:style>
  <w:style w:type="paragraph" w:customStyle="1" w:styleId="listpage">
    <w:name w:val="listpage"/>
    <w:basedOn w:val="a"/>
    <w:rsid w:val="006A5F64"/>
    <w:pPr>
      <w:widowControl/>
      <w:pBdr>
        <w:top w:val="single" w:sz="6" w:space="0" w:color="E9E9E9"/>
        <w:left w:val="single" w:sz="6" w:space="0" w:color="E9E9E9"/>
        <w:bottom w:val="single" w:sz="6" w:space="0" w:color="E9E9E9"/>
        <w:right w:val="single" w:sz="6" w:space="0" w:color="E9E9E9"/>
      </w:pBdr>
      <w:spacing w:before="100" w:beforeAutospacing="1" w:after="100" w:afterAutospacing="1"/>
      <w:jc w:val="left"/>
    </w:pPr>
    <w:rPr>
      <w:rFonts w:ascii="宋体" w:eastAsia="宋体" w:hAnsi="宋体" w:cs="宋体"/>
      <w:kern w:val="0"/>
      <w:sz w:val="24"/>
      <w:szCs w:val="24"/>
    </w:rPr>
  </w:style>
  <w:style w:type="paragraph" w:customStyle="1" w:styleId="detal">
    <w:name w:val="detal"/>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jblink">
    <w:name w:val="jb_link"/>
    <w:basedOn w:val="a"/>
    <w:rsid w:val="006A5F64"/>
    <w:pPr>
      <w:widowControl/>
      <w:pBdr>
        <w:top w:val="single" w:sz="6" w:space="9" w:color="CCCCCC"/>
      </w:pBdr>
      <w:spacing w:before="100" w:beforeAutospacing="1" w:after="100" w:afterAutospacing="1"/>
      <w:jc w:val="left"/>
    </w:pPr>
    <w:rPr>
      <w:rFonts w:ascii="宋体" w:eastAsia="宋体" w:hAnsi="宋体" w:cs="宋体"/>
      <w:kern w:val="0"/>
      <w:sz w:val="24"/>
      <w:szCs w:val="24"/>
    </w:rPr>
  </w:style>
  <w:style w:type="paragraph" w:customStyle="1" w:styleId="jblinkk">
    <w:name w:val="jb_linkk"/>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link">
    <w:name w:val="link"/>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link1">
    <w:name w:val="link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selectbox">
    <w:name w:val="select_box"/>
    <w:basedOn w:val="a"/>
    <w:rsid w:val="006A5F64"/>
    <w:pPr>
      <w:widowControl/>
      <w:spacing w:before="150" w:after="75"/>
      <w:ind w:left="150" w:right="150"/>
      <w:jc w:val="left"/>
    </w:pPr>
    <w:rPr>
      <w:rFonts w:ascii="宋体" w:eastAsia="宋体" w:hAnsi="宋体" w:cs="宋体"/>
      <w:kern w:val="0"/>
      <w:sz w:val="24"/>
      <w:szCs w:val="24"/>
    </w:rPr>
  </w:style>
  <w:style w:type="paragraph" w:customStyle="1" w:styleId="jbdi">
    <w:name w:val="jb_d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jbdi1">
    <w:name w:val="jb_d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jbjgtex">
    <w:name w:val="jb_jgtex"/>
    <w:basedOn w:val="a"/>
    <w:rsid w:val="006A5F64"/>
    <w:pPr>
      <w:widowControl/>
      <w:spacing w:before="100" w:beforeAutospacing="1" w:after="100" w:afterAutospacing="1" w:line="900" w:lineRule="atLeast"/>
      <w:ind w:left="300"/>
      <w:jc w:val="left"/>
    </w:pPr>
    <w:rPr>
      <w:rFonts w:ascii="宋体" w:eastAsia="宋体" w:hAnsi="宋体" w:cs="宋体"/>
      <w:color w:val="333333"/>
      <w:kern w:val="0"/>
      <w:szCs w:val="21"/>
    </w:rPr>
  </w:style>
  <w:style w:type="paragraph" w:customStyle="1" w:styleId="jbbctu">
    <w:name w:val="jb_bctu"/>
    <w:basedOn w:val="a"/>
    <w:rsid w:val="006A5F64"/>
    <w:pPr>
      <w:widowControl/>
      <w:spacing w:before="100" w:beforeAutospacing="1" w:after="100" w:afterAutospacing="1"/>
      <w:ind w:left="150"/>
      <w:jc w:val="left"/>
    </w:pPr>
    <w:rPr>
      <w:rFonts w:ascii="宋体" w:eastAsia="宋体" w:hAnsi="宋体" w:cs="宋体"/>
      <w:kern w:val="0"/>
      <w:sz w:val="24"/>
      <w:szCs w:val="24"/>
    </w:rPr>
  </w:style>
  <w:style w:type="paragraph" w:customStyle="1" w:styleId="xfyf">
    <w:name w:val="x_fyf"/>
    <w:basedOn w:val="a"/>
    <w:rsid w:val="006A5F64"/>
    <w:pPr>
      <w:widowControl/>
      <w:spacing w:before="315" w:after="375"/>
      <w:jc w:val="left"/>
    </w:pPr>
    <w:rPr>
      <w:rFonts w:ascii="宋体" w:eastAsia="宋体" w:hAnsi="宋体" w:cs="宋体"/>
      <w:kern w:val="0"/>
      <w:sz w:val="24"/>
      <w:szCs w:val="24"/>
    </w:rPr>
  </w:style>
  <w:style w:type="paragraph" w:customStyle="1" w:styleId="footerbox">
    <w:name w:val="footer_box"/>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footerone">
    <w:name w:val="footer_one"/>
    <w:basedOn w:val="a"/>
    <w:rsid w:val="006A5F64"/>
    <w:pPr>
      <w:widowControl/>
      <w:jc w:val="left"/>
    </w:pPr>
    <w:rPr>
      <w:rFonts w:ascii="宋体" w:eastAsia="宋体" w:hAnsi="宋体" w:cs="宋体"/>
      <w:kern w:val="0"/>
      <w:sz w:val="24"/>
      <w:szCs w:val="24"/>
    </w:rPr>
  </w:style>
  <w:style w:type="paragraph" w:customStyle="1" w:styleId="select">
    <w:name w:val="select"/>
    <w:basedOn w:val="a"/>
    <w:rsid w:val="006A5F64"/>
    <w:pPr>
      <w:widowControl/>
      <w:ind w:left="150" w:right="150"/>
      <w:jc w:val="left"/>
    </w:pPr>
    <w:rPr>
      <w:rFonts w:ascii="宋体" w:eastAsia="宋体" w:hAnsi="宋体" w:cs="宋体"/>
      <w:kern w:val="0"/>
      <w:sz w:val="24"/>
      <w:szCs w:val="24"/>
    </w:rPr>
  </w:style>
  <w:style w:type="paragraph" w:customStyle="1" w:styleId="downbox">
    <w:name w:val="downbox"/>
    <w:basedOn w:val="a"/>
    <w:rsid w:val="006A5F64"/>
    <w:pPr>
      <w:widowControl/>
      <w:pBdr>
        <w:top w:val="single" w:sz="24" w:space="23" w:color="3E60A4"/>
      </w:pBdr>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downbox0">
    <w:name w:val="down_box"/>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footerimg">
    <w:name w:val="footer_img"/>
    <w:basedOn w:val="a"/>
    <w:rsid w:val="006A5F64"/>
    <w:pPr>
      <w:widowControl/>
      <w:spacing w:before="225" w:after="100" w:afterAutospacing="1"/>
      <w:jc w:val="left"/>
    </w:pPr>
    <w:rPr>
      <w:rFonts w:ascii="宋体" w:eastAsia="宋体" w:hAnsi="宋体" w:cs="宋体"/>
      <w:kern w:val="0"/>
      <w:sz w:val="24"/>
      <w:szCs w:val="24"/>
    </w:rPr>
  </w:style>
  <w:style w:type="paragraph" w:customStyle="1" w:styleId="footertext">
    <w:name w:val="footer_text"/>
    <w:basedOn w:val="a"/>
    <w:rsid w:val="006A5F64"/>
    <w:pPr>
      <w:widowControl/>
      <w:spacing w:before="100" w:beforeAutospacing="1" w:after="100" w:afterAutospacing="1"/>
      <w:ind w:left="300"/>
      <w:jc w:val="left"/>
    </w:pPr>
    <w:rPr>
      <w:rFonts w:ascii="宋体" w:eastAsia="宋体" w:hAnsi="宋体" w:cs="宋体"/>
      <w:kern w:val="0"/>
      <w:sz w:val="24"/>
      <w:szCs w:val="24"/>
    </w:rPr>
  </w:style>
  <w:style w:type="paragraph" w:customStyle="1" w:styleId="footerjc">
    <w:name w:val="footer_jc"/>
    <w:basedOn w:val="a"/>
    <w:rsid w:val="006A5F64"/>
    <w:pPr>
      <w:widowControl/>
      <w:spacing w:before="150" w:after="100" w:afterAutospacing="1"/>
      <w:jc w:val="left"/>
    </w:pPr>
    <w:rPr>
      <w:rFonts w:ascii="宋体" w:eastAsia="宋体" w:hAnsi="宋体" w:cs="宋体"/>
      <w:kern w:val="0"/>
      <w:sz w:val="24"/>
      <w:szCs w:val="24"/>
    </w:rPr>
  </w:style>
  <w:style w:type="paragraph" w:customStyle="1" w:styleId="cur">
    <w:name w:val="cur"/>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rtop">
    <w:name w:val="rtop"/>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share">
    <w:name w:val="shar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newadd">
    <w:name w:val="new_add"/>
    <w:basedOn w:val="a"/>
    <w:rsid w:val="006A5F64"/>
    <w:pPr>
      <w:widowControl/>
      <w:spacing w:before="450" w:after="300" w:line="600" w:lineRule="atLeast"/>
      <w:jc w:val="left"/>
    </w:pPr>
    <w:rPr>
      <w:rFonts w:ascii="宋体" w:eastAsia="宋体" w:hAnsi="宋体" w:cs="宋体"/>
      <w:kern w:val="0"/>
      <w:sz w:val="24"/>
      <w:szCs w:val="24"/>
    </w:rPr>
  </w:style>
  <w:style w:type="paragraph" w:customStyle="1" w:styleId="bsbox">
    <w:name w:val="bsbox"/>
    <w:basedOn w:val="a"/>
    <w:rsid w:val="006A5F64"/>
    <w:pPr>
      <w:widowControl/>
      <w:spacing w:before="100" w:beforeAutospacing="1" w:after="100" w:afterAutospacing="1"/>
      <w:jc w:val="left"/>
    </w:pPr>
    <w:rPr>
      <w:rFonts w:ascii="宋体" w:eastAsia="宋体" w:hAnsi="宋体" w:cs="宋体"/>
      <w:vanish/>
      <w:kern w:val="0"/>
      <w:sz w:val="18"/>
      <w:szCs w:val="18"/>
    </w:rPr>
  </w:style>
  <w:style w:type="paragraph" w:customStyle="1" w:styleId="bsclose">
    <w:name w:val="bsclose"/>
    <w:basedOn w:val="a"/>
    <w:rsid w:val="006A5F64"/>
    <w:pPr>
      <w:widowControl/>
      <w:spacing w:before="100" w:beforeAutospacing="1" w:after="100" w:afterAutospacing="1" w:line="300" w:lineRule="atLeast"/>
      <w:jc w:val="left"/>
    </w:pPr>
    <w:rPr>
      <w:rFonts w:ascii="Helvetica" w:eastAsia="宋体" w:hAnsi="Helvetica" w:cs="Helvetica"/>
      <w:b/>
      <w:bCs/>
      <w:color w:val="666666"/>
      <w:kern w:val="0"/>
      <w:szCs w:val="21"/>
    </w:rPr>
  </w:style>
  <w:style w:type="paragraph" w:customStyle="1" w:styleId="bstop">
    <w:name w:val="bstop"/>
    <w:basedOn w:val="a"/>
    <w:rsid w:val="006A5F64"/>
    <w:pPr>
      <w:widowControl/>
      <w:pBdr>
        <w:bottom w:val="single" w:sz="6" w:space="0" w:color="E8E8E8"/>
      </w:pBdr>
      <w:shd w:val="clear" w:color="auto" w:fill="F2F2F2"/>
      <w:spacing w:before="100" w:beforeAutospacing="1" w:after="100" w:afterAutospacing="1" w:line="360" w:lineRule="atLeast"/>
      <w:jc w:val="left"/>
    </w:pPr>
    <w:rPr>
      <w:rFonts w:ascii="宋体" w:eastAsia="宋体" w:hAnsi="宋体" w:cs="宋体"/>
      <w:color w:val="666666"/>
      <w:kern w:val="0"/>
      <w:sz w:val="24"/>
      <w:szCs w:val="24"/>
    </w:rPr>
  </w:style>
  <w:style w:type="paragraph" w:customStyle="1" w:styleId="bsframediv">
    <w:name w:val="bsframediv"/>
    <w:basedOn w:val="a"/>
    <w:rsid w:val="006A5F64"/>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bsreturn">
    <w:name w:val="bsreturn"/>
    <w:basedOn w:val="a"/>
    <w:rsid w:val="006A5F64"/>
    <w:pPr>
      <w:widowControl/>
      <w:spacing w:before="100" w:beforeAutospacing="1" w:after="100" w:afterAutospacing="1" w:line="360" w:lineRule="atLeast"/>
      <w:ind w:right="540"/>
      <w:jc w:val="right"/>
    </w:pPr>
    <w:rPr>
      <w:rFonts w:ascii="宋体" w:eastAsia="宋体" w:hAnsi="宋体" w:cs="宋体"/>
      <w:color w:val="666666"/>
      <w:kern w:val="0"/>
      <w:sz w:val="24"/>
      <w:szCs w:val="24"/>
    </w:rPr>
  </w:style>
  <w:style w:type="paragraph" w:customStyle="1" w:styleId="bssearchdiv">
    <w:name w:val="bssearchdiv"/>
    <w:basedOn w:val="a"/>
    <w:rsid w:val="006A5F64"/>
    <w:pPr>
      <w:widowControl/>
      <w:shd w:val="clear" w:color="auto" w:fill="FAFAFA"/>
      <w:spacing w:before="100" w:beforeAutospacing="1" w:after="100" w:afterAutospacing="1"/>
      <w:jc w:val="left"/>
    </w:pPr>
    <w:rPr>
      <w:rFonts w:ascii="宋体" w:eastAsia="宋体" w:hAnsi="宋体" w:cs="宋体"/>
      <w:kern w:val="0"/>
      <w:sz w:val="24"/>
      <w:szCs w:val="24"/>
    </w:rPr>
  </w:style>
  <w:style w:type="paragraph" w:customStyle="1" w:styleId="bfind-wrapper-top">
    <w:name w:val="bfind-wrapper-top"/>
    <w:basedOn w:val="a"/>
    <w:rsid w:val="006A5F64"/>
    <w:pPr>
      <w:widowControl/>
      <w:pBdr>
        <w:top w:val="single" w:sz="6" w:space="3" w:color="CCCCCC"/>
        <w:left w:val="single" w:sz="6" w:space="3" w:color="CCCCCC"/>
        <w:bottom w:val="single" w:sz="6" w:space="3" w:color="AAAAAA"/>
        <w:right w:val="single" w:sz="6" w:space="3" w:color="AAAAAA"/>
      </w:pBdr>
      <w:shd w:val="clear" w:color="auto" w:fill="FFFFFF"/>
      <w:jc w:val="left"/>
    </w:pPr>
    <w:rPr>
      <w:rFonts w:ascii="宋体" w:eastAsia="宋体" w:hAnsi="宋体" w:cs="宋体"/>
      <w:kern w:val="0"/>
      <w:sz w:val="24"/>
      <w:szCs w:val="24"/>
    </w:rPr>
  </w:style>
  <w:style w:type="paragraph" w:customStyle="1" w:styleId="bfind-placeholder">
    <w:name w:val="bfind-placeholder"/>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find">
    <w:name w:val="bfind"/>
    <w:basedOn w:val="a"/>
    <w:rsid w:val="006A5F64"/>
    <w:pPr>
      <w:widowControl/>
      <w:spacing w:before="100" w:beforeAutospacing="1" w:after="100" w:afterAutospacing="1"/>
      <w:ind w:left="45"/>
      <w:jc w:val="left"/>
    </w:pPr>
    <w:rPr>
      <w:rFonts w:ascii="宋体" w:eastAsia="宋体" w:hAnsi="宋体" w:cs="宋体"/>
      <w:kern w:val="0"/>
      <w:sz w:val="17"/>
      <w:szCs w:val="17"/>
    </w:rPr>
  </w:style>
  <w:style w:type="paragraph" w:customStyle="1" w:styleId="bsplatdiv">
    <w:name w:val="bsplatdiv"/>
    <w:basedOn w:val="a"/>
    <w:rsid w:val="006A5F64"/>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bsfooterdiv">
    <w:name w:val="bsfooterdiv"/>
    <w:basedOn w:val="a"/>
    <w:rsid w:val="006A5F64"/>
    <w:pPr>
      <w:widowControl/>
      <w:pBdr>
        <w:top w:val="single" w:sz="6" w:space="0" w:color="E8E8E8"/>
      </w:pBdr>
      <w:shd w:val="clear" w:color="auto" w:fill="F2F2F2"/>
      <w:spacing w:before="100" w:beforeAutospacing="1" w:after="100" w:afterAutospacing="1" w:line="360" w:lineRule="atLeast"/>
      <w:jc w:val="right"/>
    </w:pPr>
    <w:rPr>
      <w:rFonts w:ascii="宋体" w:eastAsia="宋体" w:hAnsi="宋体" w:cs="宋体"/>
      <w:kern w:val="0"/>
      <w:sz w:val="24"/>
      <w:szCs w:val="24"/>
    </w:rPr>
  </w:style>
  <w:style w:type="paragraph" w:customStyle="1" w:styleId="bspromom">
    <w:name w:val="bspromom"/>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new">
    <w:name w:val="bsnew"/>
    <w:basedOn w:val="a"/>
    <w:rsid w:val="006A5F64"/>
    <w:pPr>
      <w:widowControl/>
      <w:spacing w:before="75" w:after="15" w:line="240" w:lineRule="atLeast"/>
      <w:jc w:val="left"/>
    </w:pPr>
    <w:rPr>
      <w:rFonts w:ascii="宋体" w:eastAsia="宋体" w:hAnsi="宋体" w:cs="宋体"/>
      <w:color w:val="FFFFFF"/>
      <w:kern w:val="0"/>
      <w:sz w:val="18"/>
      <w:szCs w:val="18"/>
    </w:rPr>
  </w:style>
  <w:style w:type="paragraph" w:customStyle="1" w:styleId="bshot">
    <w:name w:val="bshot"/>
    <w:basedOn w:val="a"/>
    <w:rsid w:val="006A5F64"/>
    <w:pPr>
      <w:widowControl/>
      <w:spacing w:before="75" w:after="15" w:line="240" w:lineRule="atLeast"/>
      <w:jc w:val="left"/>
    </w:pPr>
    <w:rPr>
      <w:rFonts w:ascii="宋体" w:eastAsia="宋体" w:hAnsi="宋体" w:cs="宋体"/>
      <w:color w:val="FFFFFF"/>
      <w:kern w:val="0"/>
      <w:sz w:val="18"/>
      <w:szCs w:val="18"/>
    </w:rPr>
  </w:style>
  <w:style w:type="paragraph" w:customStyle="1" w:styleId="bsrec">
    <w:name w:val="bsrec"/>
    <w:basedOn w:val="a"/>
    <w:rsid w:val="006A5F64"/>
    <w:pPr>
      <w:widowControl/>
      <w:spacing w:before="75" w:after="15" w:line="240" w:lineRule="atLeast"/>
      <w:jc w:val="left"/>
    </w:pPr>
    <w:rPr>
      <w:rFonts w:ascii="宋体" w:eastAsia="宋体" w:hAnsi="宋体" w:cs="宋体"/>
      <w:color w:val="FFFFFF"/>
      <w:kern w:val="0"/>
      <w:sz w:val="18"/>
      <w:szCs w:val="18"/>
    </w:rPr>
  </w:style>
  <w:style w:type="paragraph" w:customStyle="1" w:styleId="bsawd">
    <w:name w:val="bsawd"/>
    <w:basedOn w:val="a"/>
    <w:rsid w:val="006A5F64"/>
    <w:pPr>
      <w:widowControl/>
      <w:spacing w:before="75" w:after="15" w:line="240" w:lineRule="atLeast"/>
      <w:jc w:val="left"/>
    </w:pPr>
    <w:rPr>
      <w:rFonts w:ascii="宋体" w:eastAsia="宋体" w:hAnsi="宋体" w:cs="宋体"/>
      <w:color w:val="FFFFFF"/>
      <w:kern w:val="0"/>
      <w:sz w:val="18"/>
      <w:szCs w:val="18"/>
    </w:rPr>
  </w:style>
  <w:style w:type="paragraph" w:customStyle="1" w:styleId="bshare-custom">
    <w:name w:val="bshare-custom"/>
    <w:basedOn w:val="a"/>
    <w:rsid w:val="006A5F64"/>
    <w:pPr>
      <w:widowControl/>
      <w:spacing w:before="100" w:beforeAutospacing="1" w:after="100" w:afterAutospacing="1" w:line="240" w:lineRule="atLeast"/>
      <w:jc w:val="left"/>
    </w:pPr>
    <w:rPr>
      <w:rFonts w:ascii="宋体" w:eastAsia="宋体" w:hAnsi="宋体" w:cs="宋体"/>
      <w:kern w:val="0"/>
      <w:sz w:val="20"/>
      <w:szCs w:val="20"/>
    </w:rPr>
  </w:style>
  <w:style w:type="paragraph" w:customStyle="1" w:styleId="toplogo">
    <w:name w:val="toplog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jbdh">
    <w:name w:val="jb_dh"/>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jbdh1">
    <w:name w:val="jb_dh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title">
    <w:name w:val="titl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tleft">
    <w:name w:val="t_left"/>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tright">
    <w:name w:val="t_right"/>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logolink">
    <w:name w:val="bslogolink"/>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115">
    <w:name w:val="bshare-115"/>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139mail">
    <w:name w:val="bshare-139mail"/>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9dian">
    <w:name w:val="bshare-9dia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baiducang">
    <w:name w:val="bshare-baiducang"/>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baiduhi">
    <w:name w:val="bshare-baiduh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bgoogle">
    <w:name w:val="bshare-bgoogl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bsharesync">
    <w:name w:val="bshare-bsharesync"/>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aimi">
    <w:name w:val="bshare-caim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fol">
    <w:name w:val="bshare-cfol"/>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houti">
    <w:name w:val="bshare-chout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lipboard">
    <w:name w:val="bshare-clipboard"/>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yolbbs">
    <w:name w:val="bshare-cyolbbs"/>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yzone">
    <w:name w:val="bshare-cyzon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elicious">
    <w:name w:val="bshare-delicious"/>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ig24">
    <w:name w:val="bshare-dig24"/>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igg">
    <w:name w:val="bshare-digg"/>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iglog">
    <w:name w:val="bshare-diglog"/>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iigo">
    <w:name w:val="bshare-diig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ouban">
    <w:name w:val="bshare-douba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ream">
    <w:name w:val="bshare-dream"/>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uitang">
    <w:name w:val="bshare-duitang"/>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eastdaymb">
    <w:name w:val="bshare-eastday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email">
    <w:name w:val="bshare-email"/>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evernote">
    <w:name w:val="bshare-evernot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acebook">
    <w:name w:val="bshare-facebook"/>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anfou">
    <w:name w:val="bshare-fanfou"/>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avorite">
    <w:name w:val="bshare-favorit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eixin">
    <w:name w:val="bshare-feixi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riendfeed">
    <w:name w:val="bshare-friendfeed"/>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wisp">
    <w:name w:val="bshare-fwisp"/>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anniu">
    <w:name w:val="bshare-ganniu"/>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mail">
    <w:name w:val="bshare-gmail"/>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mw">
    <w:name w:val="bshare-gmw"/>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translate">
    <w:name w:val="bshare-gtranslat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hemidemi">
    <w:name w:val="bshare-hemidem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hexunmb">
    <w:name w:val="bshare-hexun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huaban">
    <w:name w:val="bshare-huaba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ifengkb">
    <w:name w:val="bshare-ifengk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ifengmb">
    <w:name w:val="bshare-ifeng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ifensi">
    <w:name w:val="bshare-ifens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instapaper">
    <w:name w:val="bshare-instapaper"/>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itieba">
    <w:name w:val="bshare-itieba"/>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joinwish">
    <w:name w:val="bshare-joinwish"/>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kaixin001">
    <w:name w:val="bshare-kaixin00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aodao">
    <w:name w:val="bshare-laoda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eihou">
    <w:name w:val="bshare-leihou"/>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eshou">
    <w:name w:val="bshare-leshou"/>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inkedin">
    <w:name w:val="bshare-linkedi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ivespace">
    <w:name w:val="bshare-livespac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ala">
    <w:name w:val="bshare-mala"/>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asar">
    <w:name w:val="bshare-masar"/>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eilishuo">
    <w:name w:val="bshare-meilishu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iliao">
    <w:name w:val="bshare-milia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isterwong">
    <w:name w:val="bshare-mister_wong"/>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ogujie">
    <w:name w:val="bshare-moguji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optk">
    <w:name w:val="bshare-moptk"/>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sn">
    <w:name w:val="bshare-ms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yshare">
    <w:name w:val="bshare-myshar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yspace">
    <w:name w:val="bshare-myspac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neteasemb">
    <w:name w:val="bshare-netease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netvibes">
    <w:name w:val="bshare-netvibes"/>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peoplemb">
    <w:name w:val="bshare-people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pinterest">
    <w:name w:val="bshare-pinterest"/>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poco">
    <w:name w:val="bshare-poc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printer">
    <w:name w:val="bshare-printer"/>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printf">
    <w:name w:val="bshare-printf"/>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qmb">
    <w:name w:val="bshare-qq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qshuqian">
    <w:name w:val="bshare-qqshuqia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qxiaoyou">
    <w:name w:val="bshare-qqxiaoyou"/>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zone">
    <w:name w:val="bshare-qzon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aditlater">
    <w:name w:val="bshare-readitlater"/>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ddit">
    <w:name w:val="bshare-reddit"/>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dmb">
    <w:name w:val="bshare-red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njian">
    <w:name w:val="bshare-renjia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nmaiku">
    <w:name w:val="bshare-renmaiku"/>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nren">
    <w:name w:val="bshare-renre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houji">
    <w:name w:val="bshare-shouj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inaminiblog">
    <w:name w:val="bshare-sinaminiblog"/>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inaqing">
    <w:name w:val="bshare-sinaqing"/>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inavivi">
    <w:name w:val="bshare-sinaviv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ohubai">
    <w:name w:val="bshare-sohuba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ohuminiblog">
    <w:name w:val="bshare-sohuminiblog"/>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outhmb">
    <w:name w:val="bshare-south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tumbleupon">
    <w:name w:val="bshare-stumbleupo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zone">
    <w:name w:val="bshare-szon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aojianghu">
    <w:name w:val="bshare-taojianghu"/>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ianya">
    <w:name w:val="bshare-tianya"/>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ongxue">
    <w:name w:val="bshare-tongxu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uita">
    <w:name w:val="bshare-tuita"/>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umblr">
    <w:name w:val="bshare-tumblr"/>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witter">
    <w:name w:val="bshare-twitter"/>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ushi">
    <w:name w:val="bshare-ush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aakee">
    <w:name w:val="bshare-waake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ealink">
    <w:name w:val="bshare-wealink"/>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oshao">
    <w:name w:val="bshare-wosha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ianguo">
    <w:name w:val="bshare-xiangu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iaomeisns">
    <w:name w:val="bshare-xiaomeisns"/>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inminmb">
    <w:name w:val="bshare-xinmin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yweibo">
    <w:name w:val="bshare-xyweib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yaolanmb">
    <w:name w:val="bshare-yaolan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yijee">
    <w:name w:val="bshare-yije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youdao">
    <w:name w:val="bshare-youda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zjol">
    <w:name w:val="bshare-zjol"/>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inhuamb">
    <w:name w:val="bshare-xinhua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zmb">
    <w:name w:val="bshare-sz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hangshamb">
    <w:name w:val="bshare-changsha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hefeimb">
    <w:name w:val="bshare-hefei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ansha">
    <w:name w:val="bshare-wansha"/>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189share">
    <w:name w:val="bshare-189shar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iandian">
    <w:name w:val="bshare-diandia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ianji">
    <w:name w:val="bshare-tianj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jipin">
    <w:name w:val="bshare-jipi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hezhumb">
    <w:name w:val="bshare-chezhumb"/>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plus">
    <w:name w:val="bshare-gplus"/>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yidongweibo">
    <w:name w:val="bshare-yidongweib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youdaonote">
    <w:name w:val="bshare-youdaonot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jschina">
    <w:name w:val="bshare-jschina"/>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ingdao">
    <w:name w:val="bshare-mingda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jxcn">
    <w:name w:val="bshare-jxc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ileke">
    <w:name w:val="bshare-qilek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ohukan">
    <w:name w:val="bshare-sohuka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aikunote">
    <w:name w:val="bshare-maikunot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ezhimark">
    <w:name w:val="bshare-lezhimark"/>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189mail">
    <w:name w:val="bshare-189mail"/>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o">
    <w:name w:val="bshare-w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mweibo">
    <w:name w:val="bshare-gmweib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jianweibo">
    <w:name w:val="bshare-jianweib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ingbiji">
    <w:name w:val="bshare-qingbiji"/>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uankou">
    <w:name w:val="bshare-duankou"/>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qim">
    <w:name w:val="bshare-qqim"/>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kdweibo">
    <w:name w:val="bshare-kdweib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ueqiu">
    <w:name w:val="bshare-xueqiu"/>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eixin">
    <w:name w:val="bshare-weixi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ore-icon">
    <w:name w:val="bshare-more-ico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hare-count">
    <w:name w:val="bshare-share-count"/>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promo">
    <w:name w:val="bspromo"/>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popupawd">
    <w:name w:val="bspopupawd"/>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dtext">
    <w:name w:val="dtext"/>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text">
    <w:name w:val="text"/>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printdel">
    <w:name w:val="print_del"/>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platicon">
    <w:name w:val="bsplaticon"/>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platimg">
    <w:name w:val="bsplatimg"/>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platname">
    <w:name w:val="bsplatname"/>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ore">
    <w:name w:val="bshare-more"/>
    <w:basedOn w:val="a"/>
    <w:rsid w:val="006A5F64"/>
    <w:pPr>
      <w:widowControl/>
      <w:spacing w:before="100" w:beforeAutospacing="1" w:after="100" w:afterAutospacing="1"/>
      <w:jc w:val="left"/>
    </w:pPr>
    <w:rPr>
      <w:rFonts w:ascii="宋体" w:eastAsia="宋体" w:hAnsi="宋体" w:cs="宋体"/>
      <w:kern w:val="0"/>
      <w:sz w:val="24"/>
      <w:szCs w:val="24"/>
    </w:rPr>
  </w:style>
  <w:style w:type="character" w:customStyle="1" w:styleId="bsharetext">
    <w:name w:val="bsharetext"/>
    <w:basedOn w:val="a0"/>
    <w:rsid w:val="006A5F64"/>
  </w:style>
  <w:style w:type="character" w:customStyle="1" w:styleId="date">
    <w:name w:val="date"/>
    <w:basedOn w:val="a0"/>
    <w:rsid w:val="006A5F64"/>
  </w:style>
  <w:style w:type="character" w:customStyle="1" w:styleId="num">
    <w:name w:val="num"/>
    <w:basedOn w:val="a0"/>
    <w:rsid w:val="006A5F64"/>
  </w:style>
  <w:style w:type="paragraph" w:customStyle="1" w:styleId="toplogo1">
    <w:name w:val="toplog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jbdh2">
    <w:name w:val="jb_dh2"/>
    <w:basedOn w:val="a"/>
    <w:rsid w:val="006A5F64"/>
    <w:pPr>
      <w:widowControl/>
      <w:jc w:val="left"/>
    </w:pPr>
    <w:rPr>
      <w:rFonts w:ascii="宋体" w:eastAsia="宋体" w:hAnsi="宋体" w:cs="宋体"/>
      <w:kern w:val="0"/>
      <w:sz w:val="24"/>
      <w:szCs w:val="24"/>
    </w:rPr>
  </w:style>
  <w:style w:type="paragraph" w:customStyle="1" w:styleId="jbdh11">
    <w:name w:val="jb_dh11"/>
    <w:basedOn w:val="a"/>
    <w:rsid w:val="006A5F64"/>
    <w:pPr>
      <w:widowControl/>
      <w:jc w:val="left"/>
    </w:pPr>
    <w:rPr>
      <w:rFonts w:ascii="宋体" w:eastAsia="宋体" w:hAnsi="宋体" w:cs="宋体"/>
      <w:kern w:val="0"/>
      <w:sz w:val="24"/>
      <w:szCs w:val="24"/>
    </w:rPr>
  </w:style>
  <w:style w:type="paragraph" w:customStyle="1" w:styleId="title1">
    <w:name w:val="title1"/>
    <w:basedOn w:val="a"/>
    <w:rsid w:val="006A5F64"/>
    <w:pPr>
      <w:widowControl/>
      <w:pBdr>
        <w:right w:val="single" w:sz="6" w:space="0" w:color="E9E9E9"/>
      </w:pBdr>
      <w:shd w:val="clear" w:color="auto" w:fill="F5F5F5"/>
      <w:spacing w:before="100" w:beforeAutospacing="1" w:after="100" w:afterAutospacing="1"/>
      <w:jc w:val="left"/>
    </w:pPr>
    <w:rPr>
      <w:rFonts w:ascii="宋体" w:eastAsia="宋体" w:hAnsi="宋体" w:cs="宋体"/>
      <w:kern w:val="0"/>
      <w:sz w:val="24"/>
      <w:szCs w:val="24"/>
    </w:rPr>
  </w:style>
  <w:style w:type="character" w:customStyle="1" w:styleId="date1">
    <w:name w:val="date1"/>
    <w:basedOn w:val="a0"/>
    <w:rsid w:val="006A5F64"/>
    <w:rPr>
      <w:color w:val="4B4B4B"/>
    </w:rPr>
  </w:style>
  <w:style w:type="character" w:customStyle="1" w:styleId="num1">
    <w:name w:val="num1"/>
    <w:basedOn w:val="a0"/>
    <w:rsid w:val="006A5F64"/>
    <w:rPr>
      <w:color w:val="4B4B4B"/>
      <w:sz w:val="23"/>
      <w:szCs w:val="23"/>
    </w:rPr>
  </w:style>
  <w:style w:type="paragraph" w:customStyle="1" w:styleId="con1">
    <w:name w:val="con1"/>
    <w:basedOn w:val="a"/>
    <w:rsid w:val="006A5F64"/>
    <w:pPr>
      <w:widowControl/>
      <w:pBdr>
        <w:top w:val="single" w:sz="6" w:space="0" w:color="E9E9E9"/>
        <w:left w:val="single" w:sz="6" w:space="0" w:color="E9E9E9"/>
        <w:bottom w:val="single" w:sz="6" w:space="0" w:color="E9E9E9"/>
        <w:right w:val="single" w:sz="6" w:space="0" w:color="E9E9E9"/>
      </w:pBdr>
      <w:jc w:val="left"/>
    </w:pPr>
    <w:rPr>
      <w:rFonts w:ascii="宋体" w:eastAsia="宋体" w:hAnsi="宋体" w:cs="宋体"/>
      <w:color w:val="333333"/>
      <w:kern w:val="0"/>
      <w:sz w:val="24"/>
      <w:szCs w:val="24"/>
    </w:rPr>
  </w:style>
  <w:style w:type="paragraph" w:customStyle="1" w:styleId="dtext1">
    <w:name w:val="dtext1"/>
    <w:basedOn w:val="a"/>
    <w:rsid w:val="006A5F64"/>
    <w:pPr>
      <w:widowControl/>
      <w:shd w:val="clear" w:color="auto" w:fill="F5F5F5"/>
      <w:spacing w:before="150" w:after="150"/>
      <w:jc w:val="left"/>
    </w:pPr>
    <w:rPr>
      <w:rFonts w:ascii="宋体" w:eastAsia="宋体" w:hAnsi="宋体" w:cs="宋体"/>
      <w:kern w:val="0"/>
      <w:sz w:val="24"/>
      <w:szCs w:val="24"/>
    </w:rPr>
  </w:style>
  <w:style w:type="paragraph" w:customStyle="1" w:styleId="text1">
    <w:name w:val="text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tleft1">
    <w:name w:val="t_left1"/>
    <w:basedOn w:val="a"/>
    <w:rsid w:val="006A5F64"/>
    <w:pPr>
      <w:widowControl/>
      <w:spacing w:before="100" w:beforeAutospacing="1" w:after="100" w:afterAutospacing="1"/>
      <w:jc w:val="left"/>
    </w:pPr>
    <w:rPr>
      <w:rFonts w:ascii="宋体" w:eastAsia="宋体" w:hAnsi="宋体" w:cs="宋体"/>
      <w:color w:val="333333"/>
      <w:kern w:val="0"/>
      <w:szCs w:val="21"/>
    </w:rPr>
  </w:style>
  <w:style w:type="paragraph" w:customStyle="1" w:styleId="tright1">
    <w:name w:val="t_right1"/>
    <w:basedOn w:val="a"/>
    <w:rsid w:val="006A5F64"/>
    <w:pPr>
      <w:widowControl/>
      <w:spacing w:before="100" w:beforeAutospacing="1" w:after="100" w:afterAutospacing="1"/>
      <w:jc w:val="left"/>
    </w:pPr>
    <w:rPr>
      <w:rFonts w:ascii="宋体" w:eastAsia="宋体" w:hAnsi="宋体" w:cs="宋体"/>
      <w:color w:val="333333"/>
      <w:kern w:val="0"/>
      <w:szCs w:val="21"/>
    </w:rPr>
  </w:style>
  <w:style w:type="paragraph" w:customStyle="1" w:styleId="printdel1">
    <w:name w:val="print_del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popupawd1">
    <w:name w:val="bspopupawd1"/>
    <w:basedOn w:val="a"/>
    <w:rsid w:val="006A5F64"/>
    <w:pPr>
      <w:widowControl/>
      <w:spacing w:before="100" w:beforeAutospacing="1" w:after="100" w:afterAutospacing="1" w:line="240" w:lineRule="atLeast"/>
      <w:jc w:val="left"/>
    </w:pPr>
    <w:rPr>
      <w:rFonts w:ascii="宋体" w:eastAsia="宋体" w:hAnsi="宋体" w:cs="宋体"/>
      <w:kern w:val="0"/>
      <w:sz w:val="24"/>
      <w:szCs w:val="24"/>
    </w:rPr>
  </w:style>
  <w:style w:type="paragraph" w:customStyle="1" w:styleId="bspopupawd2">
    <w:name w:val="bspopupawd2"/>
    <w:basedOn w:val="a"/>
    <w:rsid w:val="006A5F64"/>
    <w:pPr>
      <w:widowControl/>
      <w:spacing w:before="100" w:beforeAutospacing="1" w:after="100" w:afterAutospacing="1" w:line="240" w:lineRule="atLeast"/>
      <w:jc w:val="left"/>
    </w:pPr>
    <w:rPr>
      <w:rFonts w:ascii="宋体" w:eastAsia="宋体" w:hAnsi="宋体" w:cs="宋体"/>
      <w:kern w:val="0"/>
      <w:sz w:val="24"/>
      <w:szCs w:val="24"/>
    </w:rPr>
  </w:style>
  <w:style w:type="paragraph" w:customStyle="1" w:styleId="bspopupawd3">
    <w:name w:val="bspopupawd3"/>
    <w:basedOn w:val="a"/>
    <w:rsid w:val="006A5F64"/>
    <w:pPr>
      <w:widowControl/>
      <w:spacing w:before="100" w:beforeAutospacing="1" w:after="100" w:afterAutospacing="1" w:line="240" w:lineRule="atLeast"/>
      <w:jc w:val="left"/>
    </w:pPr>
    <w:rPr>
      <w:rFonts w:ascii="宋体" w:eastAsia="宋体" w:hAnsi="宋体" w:cs="宋体"/>
      <w:kern w:val="0"/>
      <w:sz w:val="24"/>
      <w:szCs w:val="24"/>
    </w:rPr>
  </w:style>
  <w:style w:type="paragraph" w:customStyle="1" w:styleId="bspopupawd4">
    <w:name w:val="bspopupawd4"/>
    <w:basedOn w:val="a"/>
    <w:rsid w:val="006A5F64"/>
    <w:pPr>
      <w:widowControl/>
      <w:spacing w:before="100" w:beforeAutospacing="1" w:after="100" w:afterAutospacing="1" w:line="240" w:lineRule="atLeast"/>
      <w:jc w:val="left"/>
    </w:pPr>
    <w:rPr>
      <w:rFonts w:ascii="宋体" w:eastAsia="宋体" w:hAnsi="宋体" w:cs="宋体"/>
      <w:kern w:val="0"/>
      <w:sz w:val="24"/>
      <w:szCs w:val="24"/>
    </w:rPr>
  </w:style>
  <w:style w:type="paragraph" w:customStyle="1" w:styleId="bspromo1">
    <w:name w:val="bspromo1"/>
    <w:basedOn w:val="a"/>
    <w:rsid w:val="006A5F64"/>
    <w:pPr>
      <w:widowControl/>
      <w:spacing w:before="100" w:beforeAutospacing="1" w:after="100" w:afterAutospacing="1"/>
      <w:jc w:val="left"/>
    </w:pPr>
    <w:rPr>
      <w:rFonts w:ascii="宋体" w:eastAsia="宋体" w:hAnsi="宋体" w:cs="宋体"/>
      <w:vanish/>
      <w:kern w:val="0"/>
      <w:sz w:val="24"/>
      <w:szCs w:val="24"/>
    </w:rPr>
  </w:style>
  <w:style w:type="paragraph" w:customStyle="1" w:styleId="bspromo2">
    <w:name w:val="bspromo2"/>
    <w:basedOn w:val="a"/>
    <w:rsid w:val="006A5F64"/>
    <w:pPr>
      <w:widowControl/>
      <w:spacing w:before="100" w:beforeAutospacing="1" w:after="100" w:afterAutospacing="1"/>
      <w:jc w:val="left"/>
    </w:pPr>
    <w:rPr>
      <w:rFonts w:ascii="宋体" w:eastAsia="宋体" w:hAnsi="宋体" w:cs="宋体"/>
      <w:vanish/>
      <w:kern w:val="0"/>
      <w:sz w:val="24"/>
      <w:szCs w:val="24"/>
    </w:rPr>
  </w:style>
  <w:style w:type="paragraph" w:customStyle="1" w:styleId="bsplaticon1">
    <w:name w:val="bsplaticon1"/>
    <w:basedOn w:val="a"/>
    <w:rsid w:val="006A5F64"/>
    <w:pPr>
      <w:widowControl/>
      <w:spacing w:before="100" w:beforeAutospacing="1" w:after="100" w:afterAutospacing="1"/>
      <w:jc w:val="center"/>
    </w:pPr>
    <w:rPr>
      <w:rFonts w:ascii="宋体" w:eastAsia="宋体" w:hAnsi="宋体" w:cs="宋体"/>
      <w:kern w:val="0"/>
      <w:sz w:val="24"/>
      <w:szCs w:val="24"/>
    </w:rPr>
  </w:style>
  <w:style w:type="paragraph" w:customStyle="1" w:styleId="bsplatimg1">
    <w:name w:val="bsplatimg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platname1">
    <w:name w:val="bsplatname1"/>
    <w:basedOn w:val="a"/>
    <w:rsid w:val="006A5F64"/>
    <w:pPr>
      <w:widowControl/>
      <w:spacing w:before="30" w:after="100" w:afterAutospacing="1" w:line="336" w:lineRule="auto"/>
      <w:jc w:val="center"/>
    </w:pPr>
    <w:rPr>
      <w:rFonts w:ascii="宋体" w:eastAsia="宋体" w:hAnsi="宋体" w:cs="宋体"/>
      <w:color w:val="333333"/>
      <w:kern w:val="0"/>
      <w:sz w:val="24"/>
      <w:szCs w:val="24"/>
    </w:rPr>
  </w:style>
  <w:style w:type="paragraph" w:customStyle="1" w:styleId="bspromom1">
    <w:name w:val="bspromom1"/>
    <w:basedOn w:val="a"/>
    <w:rsid w:val="006A5F64"/>
    <w:pPr>
      <w:widowControl/>
      <w:spacing w:before="100" w:beforeAutospacing="1" w:after="100" w:afterAutospacing="1"/>
      <w:jc w:val="center"/>
    </w:pPr>
    <w:rPr>
      <w:rFonts w:ascii="宋体" w:eastAsia="宋体" w:hAnsi="宋体" w:cs="宋体"/>
      <w:kern w:val="0"/>
      <w:sz w:val="24"/>
      <w:szCs w:val="24"/>
    </w:rPr>
  </w:style>
  <w:style w:type="paragraph" w:customStyle="1" w:styleId="bshare-more1">
    <w:name w:val="bshare-more1"/>
    <w:basedOn w:val="a"/>
    <w:rsid w:val="006A5F64"/>
    <w:pPr>
      <w:widowControl/>
      <w:spacing w:before="100" w:beforeAutospacing="1" w:after="100" w:afterAutospacing="1"/>
      <w:jc w:val="left"/>
    </w:pPr>
    <w:rPr>
      <w:rFonts w:ascii="宋体" w:eastAsia="宋体" w:hAnsi="宋体" w:cs="宋体"/>
      <w:color w:val="333333"/>
      <w:kern w:val="0"/>
      <w:sz w:val="24"/>
      <w:szCs w:val="24"/>
    </w:rPr>
  </w:style>
  <w:style w:type="paragraph" w:customStyle="1" w:styleId="bshare-1151">
    <w:name w:val="bshare-115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139mail1">
    <w:name w:val="bshare-139mail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9dian1">
    <w:name w:val="bshare-9dia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baiducang1">
    <w:name w:val="bshare-baiducang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baiduhi1">
    <w:name w:val="bshare-baiduh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bgoogle1">
    <w:name w:val="bshare-bgoogl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bsharesync1">
    <w:name w:val="bshare-bsharesync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aimi1">
    <w:name w:val="bshare-caim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fol1">
    <w:name w:val="bshare-cfol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houti1">
    <w:name w:val="bshare-chout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lipboard1">
    <w:name w:val="bshare-clipboard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yolbbs1">
    <w:name w:val="bshare-cyolbbs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yzone1">
    <w:name w:val="bshare-cyzon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elicious1">
    <w:name w:val="bshare-delicious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ig241">
    <w:name w:val="bshare-dig24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igg1">
    <w:name w:val="bshare-digg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iglog1">
    <w:name w:val="bshare-diglog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iigo1">
    <w:name w:val="bshare-diig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ouban1">
    <w:name w:val="bshare-douba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ream1">
    <w:name w:val="bshare-dream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uitang1">
    <w:name w:val="bshare-duitang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eastdaymb1">
    <w:name w:val="bshare-eastday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email1">
    <w:name w:val="bshare-email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evernote1">
    <w:name w:val="bshare-evernot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acebook1">
    <w:name w:val="bshare-facebook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anfou1">
    <w:name w:val="bshare-fanfou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avorite1">
    <w:name w:val="bshare-favorit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eixin1">
    <w:name w:val="bshare-feixi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riendfeed1">
    <w:name w:val="bshare-friendfeed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fwisp1">
    <w:name w:val="bshare-fwisp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anniu1">
    <w:name w:val="bshare-ganniu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mail1">
    <w:name w:val="bshare-gmail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mw1">
    <w:name w:val="bshare-gmw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translate1">
    <w:name w:val="bshare-gtranslat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hemidemi1">
    <w:name w:val="bshare-hemidem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hexunmb1">
    <w:name w:val="bshare-hexun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huaban1">
    <w:name w:val="bshare-huaba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ifengkb1">
    <w:name w:val="bshare-ifengk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ifengmb1">
    <w:name w:val="bshare-ifeng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ifensi1">
    <w:name w:val="bshare-ifens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instapaper1">
    <w:name w:val="bshare-instapaper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itieba1">
    <w:name w:val="bshare-itieba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joinwish1">
    <w:name w:val="bshare-joinwish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kaixin0011">
    <w:name w:val="bshare-kaixin001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aodao1">
    <w:name w:val="bshare-laoda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eihou1">
    <w:name w:val="bshare-leihou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eshou1">
    <w:name w:val="bshare-leshou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inkedin1">
    <w:name w:val="bshare-linkedi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ivespace1">
    <w:name w:val="bshare-livespac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ala1">
    <w:name w:val="bshare-mala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asar1">
    <w:name w:val="bshare-masar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eilishuo1">
    <w:name w:val="bshare-meilishu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iliao1">
    <w:name w:val="bshare-milia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isterwong1">
    <w:name w:val="bshare-mister_wong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ogujie1">
    <w:name w:val="bshare-moguji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optk1">
    <w:name w:val="bshare-moptk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sn1">
    <w:name w:val="bshare-ms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yshare1">
    <w:name w:val="bshare-myshar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yspace1">
    <w:name w:val="bshare-myspac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neteasemb1">
    <w:name w:val="bshare-netease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netvibes1">
    <w:name w:val="bshare-netvibes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peoplemb1">
    <w:name w:val="bshare-people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pinterest1">
    <w:name w:val="bshare-pinterest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poco1">
    <w:name w:val="bshare-poc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printer1">
    <w:name w:val="bshare-printer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printf1">
    <w:name w:val="bshare-printf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qmb1">
    <w:name w:val="bshare-qq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qshuqian1">
    <w:name w:val="bshare-qqshuqia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qxiaoyou1">
    <w:name w:val="bshare-qqxiaoyou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zone1">
    <w:name w:val="bshare-qzon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aditlater1">
    <w:name w:val="bshare-readitlater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ddit1">
    <w:name w:val="bshare-reddit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dmb1">
    <w:name w:val="bshare-red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njian1">
    <w:name w:val="bshare-renjia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nmaiku1">
    <w:name w:val="bshare-renmaiku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renren1">
    <w:name w:val="bshare-renre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houji1">
    <w:name w:val="bshare-shouj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inaminiblog1">
    <w:name w:val="bshare-sinaminiblog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inaqing1">
    <w:name w:val="bshare-sinaqing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inavivi1">
    <w:name w:val="bshare-sinaviv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ohubai1">
    <w:name w:val="bshare-sohuba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ohuminiblog1">
    <w:name w:val="bshare-sohuminiblog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outhmb1">
    <w:name w:val="bshare-south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tumbleupon1">
    <w:name w:val="bshare-stumbleupo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zone1">
    <w:name w:val="bshare-szon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aojianghu1">
    <w:name w:val="bshare-taojianghu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ianya1">
    <w:name w:val="bshare-tianya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ongxue1">
    <w:name w:val="bshare-tongxu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uita1">
    <w:name w:val="bshare-tuita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umblr1">
    <w:name w:val="bshare-tumblr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witter1">
    <w:name w:val="bshare-twitter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ushi1">
    <w:name w:val="bshare-ush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aakee1">
    <w:name w:val="bshare-waake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ealink1">
    <w:name w:val="bshare-wealink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oshao1">
    <w:name w:val="bshare-wosha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ianguo1">
    <w:name w:val="bshare-xiangu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iaomeisns1">
    <w:name w:val="bshare-xiaomeisns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inminmb1">
    <w:name w:val="bshare-xinmin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yweibo1">
    <w:name w:val="bshare-xyweib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yaolanmb1">
    <w:name w:val="bshare-yaolan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yijee1">
    <w:name w:val="bshare-yije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youdao1">
    <w:name w:val="bshare-youda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zjol1">
    <w:name w:val="bshare-zjol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inhuamb1">
    <w:name w:val="bshare-xinhua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zmb1">
    <w:name w:val="bshare-sz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hangshamb1">
    <w:name w:val="bshare-changsha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hefeimb1">
    <w:name w:val="bshare-hefei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ansha1">
    <w:name w:val="bshare-wansha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189share1">
    <w:name w:val="bshare-189shar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iandian1">
    <w:name w:val="bshare-diandia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tianji1">
    <w:name w:val="bshare-tianj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jipin1">
    <w:name w:val="bshare-jipi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chezhumb1">
    <w:name w:val="bshare-chezhumb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plus1">
    <w:name w:val="bshare-gplus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yidongweibo1">
    <w:name w:val="bshare-yidongweib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youdaonote1">
    <w:name w:val="bshare-youdaonot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jschina1">
    <w:name w:val="bshare-jschina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ingdao1">
    <w:name w:val="bshare-mingda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jxcn1">
    <w:name w:val="bshare-jxc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ileke1">
    <w:name w:val="bshare-qilek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ohukan1">
    <w:name w:val="bshare-sohuka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aikunote1">
    <w:name w:val="bshare-maikunote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lezhimark1">
    <w:name w:val="bshare-lezhimark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189mail1">
    <w:name w:val="bshare-189mail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o1">
    <w:name w:val="bshare-w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gmweibo1">
    <w:name w:val="bshare-gmweib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jianweibo1">
    <w:name w:val="bshare-jianweib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ingbiji1">
    <w:name w:val="bshare-qingbiji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duankou1">
    <w:name w:val="bshare-duankou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qqim1">
    <w:name w:val="bshare-qqim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kdweibo1">
    <w:name w:val="bshare-kdweibo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xueqiu1">
    <w:name w:val="bshare-xueqiu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weixin1">
    <w:name w:val="bshare-weixi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more-icon1">
    <w:name w:val="bshare-more-icon1"/>
    <w:basedOn w:val="a"/>
    <w:rsid w:val="006A5F64"/>
    <w:pPr>
      <w:widowControl/>
      <w:spacing w:before="100" w:beforeAutospacing="1" w:after="100" w:afterAutospacing="1"/>
      <w:jc w:val="left"/>
    </w:pPr>
    <w:rPr>
      <w:rFonts w:ascii="宋体" w:eastAsia="宋体" w:hAnsi="宋体" w:cs="宋体"/>
      <w:kern w:val="0"/>
      <w:sz w:val="24"/>
      <w:szCs w:val="24"/>
    </w:rPr>
  </w:style>
  <w:style w:type="paragraph" w:customStyle="1" w:styleId="bshare-share-count1">
    <w:name w:val="bshare-share-count1"/>
    <w:basedOn w:val="a"/>
    <w:rsid w:val="006A5F64"/>
    <w:pPr>
      <w:widowControl/>
      <w:spacing w:before="100" w:beforeAutospacing="1" w:after="100" w:afterAutospacing="1" w:line="270" w:lineRule="atLeast"/>
      <w:jc w:val="center"/>
    </w:pPr>
    <w:rPr>
      <w:rFonts w:ascii="Arial" w:eastAsia="宋体" w:hAnsi="Arial" w:cs="Arial"/>
      <w:b/>
      <w:bCs/>
      <w:color w:val="333333"/>
      <w:kern w:val="0"/>
      <w:sz w:val="17"/>
      <w:szCs w:val="17"/>
    </w:rPr>
  </w:style>
  <w:style w:type="paragraph" w:customStyle="1" w:styleId="bspopupawd5">
    <w:name w:val="bspopupawd5"/>
    <w:basedOn w:val="a"/>
    <w:rsid w:val="006A5F64"/>
    <w:pPr>
      <w:widowControl/>
      <w:spacing w:before="75" w:line="240" w:lineRule="atLeast"/>
      <w:ind w:left="-210"/>
      <w:jc w:val="left"/>
    </w:pPr>
    <w:rPr>
      <w:rFonts w:ascii="宋体" w:eastAsia="宋体" w:hAnsi="宋体" w:cs="宋体"/>
      <w:kern w:val="0"/>
      <w:sz w:val="24"/>
      <w:szCs w:val="24"/>
    </w:rPr>
  </w:style>
  <w:style w:type="paragraph" w:customStyle="1" w:styleId="bspopupawd6">
    <w:name w:val="bspopupawd6"/>
    <w:basedOn w:val="a"/>
    <w:rsid w:val="006A5F64"/>
    <w:pPr>
      <w:widowControl/>
      <w:spacing w:before="75" w:line="240" w:lineRule="atLeast"/>
      <w:ind w:left="-21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42223257">
      <w:bodyDiv w:val="1"/>
      <w:marLeft w:val="0"/>
      <w:marRight w:val="0"/>
      <w:marTop w:val="0"/>
      <w:marBottom w:val="0"/>
      <w:divBdr>
        <w:top w:val="none" w:sz="0" w:space="0" w:color="auto"/>
        <w:left w:val="none" w:sz="0" w:space="0" w:color="auto"/>
        <w:bottom w:val="none" w:sz="0" w:space="0" w:color="auto"/>
        <w:right w:val="none" w:sz="0" w:space="0" w:color="auto"/>
      </w:divBdr>
    </w:div>
    <w:div w:id="1533106973">
      <w:bodyDiv w:val="1"/>
      <w:marLeft w:val="0"/>
      <w:marRight w:val="0"/>
      <w:marTop w:val="0"/>
      <w:marBottom w:val="0"/>
      <w:divBdr>
        <w:top w:val="none" w:sz="0" w:space="0" w:color="auto"/>
        <w:left w:val="none" w:sz="0" w:space="0" w:color="auto"/>
        <w:bottom w:val="none" w:sz="0" w:space="0" w:color="auto"/>
        <w:right w:val="none" w:sz="0" w:space="0" w:color="auto"/>
      </w:divBdr>
    </w:div>
    <w:div w:id="1858499346">
      <w:bodyDiv w:val="1"/>
      <w:marLeft w:val="0"/>
      <w:marRight w:val="0"/>
      <w:marTop w:val="0"/>
      <w:marBottom w:val="0"/>
      <w:divBdr>
        <w:top w:val="none" w:sz="0" w:space="0" w:color="auto"/>
        <w:left w:val="none" w:sz="0" w:space="0" w:color="auto"/>
        <w:bottom w:val="none" w:sz="0" w:space="0" w:color="auto"/>
        <w:right w:val="none" w:sz="0" w:space="0" w:color="auto"/>
      </w:divBdr>
      <w:divsChild>
        <w:div w:id="2012635786">
          <w:marLeft w:val="0"/>
          <w:marRight w:val="0"/>
          <w:marTop w:val="0"/>
          <w:marBottom w:val="0"/>
          <w:divBdr>
            <w:top w:val="none" w:sz="0" w:space="0" w:color="auto"/>
            <w:left w:val="none" w:sz="0" w:space="0" w:color="auto"/>
            <w:bottom w:val="none" w:sz="0" w:space="0" w:color="auto"/>
            <w:right w:val="none" w:sz="0" w:space="0" w:color="auto"/>
          </w:divBdr>
          <w:divsChild>
            <w:div w:id="1218081343">
              <w:marLeft w:val="0"/>
              <w:marRight w:val="0"/>
              <w:marTop w:val="150"/>
              <w:marBottom w:val="300"/>
              <w:divBdr>
                <w:top w:val="none" w:sz="0" w:space="0" w:color="auto"/>
                <w:left w:val="none" w:sz="0" w:space="0" w:color="auto"/>
                <w:bottom w:val="none" w:sz="0" w:space="0" w:color="auto"/>
                <w:right w:val="none" w:sz="0" w:space="0" w:color="auto"/>
              </w:divBdr>
              <w:divsChild>
                <w:div w:id="1541623465">
                  <w:marLeft w:val="0"/>
                  <w:marRight w:val="0"/>
                  <w:marTop w:val="100"/>
                  <w:marBottom w:val="100"/>
                  <w:divBdr>
                    <w:top w:val="none" w:sz="0" w:space="0" w:color="auto"/>
                    <w:left w:val="none" w:sz="0" w:space="0" w:color="auto"/>
                    <w:bottom w:val="none" w:sz="0" w:space="0" w:color="auto"/>
                    <w:right w:val="none" w:sz="0" w:space="0" w:color="auto"/>
                  </w:divBdr>
                  <w:divsChild>
                    <w:div w:id="378432989">
                      <w:marLeft w:val="0"/>
                      <w:marRight w:val="0"/>
                      <w:marTop w:val="0"/>
                      <w:marBottom w:val="0"/>
                      <w:divBdr>
                        <w:top w:val="single" w:sz="6" w:space="0" w:color="E9E9E9"/>
                        <w:left w:val="single" w:sz="6" w:space="0" w:color="E9E9E9"/>
                        <w:bottom w:val="single" w:sz="6" w:space="0" w:color="E9E9E9"/>
                        <w:right w:val="single" w:sz="6" w:space="0" w:color="E9E9E9"/>
                      </w:divBdr>
                      <w:divsChild>
                        <w:div w:id="1567957909">
                          <w:marLeft w:val="0"/>
                          <w:marRight w:val="0"/>
                          <w:marTop w:val="0"/>
                          <w:marBottom w:val="0"/>
                          <w:divBdr>
                            <w:top w:val="none" w:sz="0" w:space="0" w:color="auto"/>
                            <w:left w:val="none" w:sz="0" w:space="0" w:color="auto"/>
                            <w:bottom w:val="none" w:sz="0" w:space="0" w:color="auto"/>
                            <w:right w:val="none" w:sz="0" w:space="0" w:color="auto"/>
                          </w:divBdr>
                          <w:divsChild>
                            <w:div w:id="1523590839">
                              <w:marLeft w:val="0"/>
                              <w:marRight w:val="0"/>
                              <w:marTop w:val="0"/>
                              <w:marBottom w:val="0"/>
                              <w:divBdr>
                                <w:top w:val="none" w:sz="0" w:space="0" w:color="auto"/>
                                <w:left w:val="none" w:sz="0" w:space="0" w:color="auto"/>
                                <w:bottom w:val="none" w:sz="0" w:space="0" w:color="auto"/>
                                <w:right w:val="none" w:sz="0" w:space="0" w:color="auto"/>
                              </w:divBdr>
                              <w:divsChild>
                                <w:div w:id="15461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22</Pages>
  <Words>1916</Words>
  <Characters>10927</Characters>
  <Application>Microsoft Office Word</Application>
  <DocSecurity>0</DocSecurity>
  <Lines>91</Lines>
  <Paragraphs>25</Paragraphs>
  <ScaleCrop>false</ScaleCrop>
  <Company/>
  <LinksUpToDate>false</LinksUpToDate>
  <CharactersWithSpaces>12818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2019-01-23T11:21:00Z</dcterms:created>
  <dcterms:modified xsi:type="dcterms:W3CDTF">2019-01-24T02:08:00Z</dcterms:modified>
</cp:coreProperties>
</file>